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6B9D" w:rsidRPr="004D635A" w:rsidRDefault="004D635A">
      <w:pPr>
        <w:rPr>
          <w:rFonts w:ascii="Bookman Old Style" w:hAnsi="Bookman Old Style"/>
          <w:b/>
        </w:rPr>
      </w:pPr>
      <w:r w:rsidRPr="004D635A">
        <w:rPr>
          <w:rFonts w:ascii="Bookman Old Style" w:hAnsi="Bookman Old Style"/>
          <w:b/>
        </w:rPr>
        <w:t xml:space="preserve">LEIBNIZ </w:t>
      </w:r>
    </w:p>
    <w:p w:rsidR="004D635A" w:rsidRPr="00CB7240" w:rsidRDefault="004D635A" w:rsidP="004D635A">
      <w:pPr>
        <w:spacing w:after="0" w:line="240" w:lineRule="auto"/>
        <w:rPr>
          <w:rFonts w:ascii="Bookman Old Style" w:hAnsi="Bookman Old Style"/>
          <w:b/>
          <w:color w:val="404040" w:themeColor="text1" w:themeTint="BF"/>
        </w:rPr>
      </w:pPr>
      <w:r w:rsidRPr="00CB7240">
        <w:rPr>
          <w:rFonts w:ascii="Bookman Old Style" w:eastAsia="Times New Roman" w:hAnsi="Bookman Old Style" w:cs="Arial"/>
          <w:b/>
          <w:color w:val="404040" w:themeColor="text1" w:themeTint="BF"/>
          <w:lang w:eastAsia="pl-PL"/>
        </w:rPr>
        <w:t>Metafizyczne tezy Leibniza:</w:t>
      </w:r>
    </w:p>
    <w:p w:rsidR="004D635A" w:rsidRPr="00CB7240" w:rsidRDefault="004D635A" w:rsidP="004D635A">
      <w:pPr>
        <w:numPr>
          <w:ilvl w:val="0"/>
          <w:numId w:val="1"/>
        </w:numPr>
        <w:shd w:val="clear" w:color="auto" w:fill="FFFFFF"/>
        <w:spacing w:before="45" w:after="0" w:line="240" w:lineRule="auto"/>
        <w:ind w:left="0"/>
        <w:jc w:val="both"/>
        <w:textAlignment w:val="baseline"/>
        <w:rPr>
          <w:rFonts w:ascii="Bookman Old Style" w:eastAsia="Times New Roman" w:hAnsi="Bookman Old Style" w:cs="Arial"/>
          <w:color w:val="404040" w:themeColor="text1" w:themeTint="BF"/>
          <w:lang w:eastAsia="pl-PL"/>
        </w:rPr>
      </w:pPr>
      <w:r w:rsidRPr="00CB7240">
        <w:rPr>
          <w:rFonts w:ascii="Bookman Old Style" w:eastAsia="Times New Roman" w:hAnsi="Bookman Old Style" w:cs="Arial"/>
          <w:color w:val="404040" w:themeColor="text1" w:themeTint="BF"/>
          <w:lang w:eastAsia="pl-PL"/>
        </w:rPr>
        <w:t>jest wiele substancji, ponieważ z jednej substancji nie mogłoby się wytworzyć tyle rzeczy</w:t>
      </w:r>
    </w:p>
    <w:p w:rsidR="004D635A" w:rsidRPr="00CB7240" w:rsidRDefault="004D635A" w:rsidP="004D635A">
      <w:pPr>
        <w:numPr>
          <w:ilvl w:val="0"/>
          <w:numId w:val="1"/>
        </w:numPr>
        <w:shd w:val="clear" w:color="auto" w:fill="FFFFFF"/>
        <w:spacing w:before="45" w:after="0" w:line="240" w:lineRule="auto"/>
        <w:ind w:left="0"/>
        <w:jc w:val="both"/>
        <w:textAlignment w:val="baseline"/>
        <w:rPr>
          <w:rFonts w:ascii="Bookman Old Style" w:eastAsia="Times New Roman" w:hAnsi="Bookman Old Style" w:cs="Arial"/>
          <w:color w:val="404040" w:themeColor="text1" w:themeTint="BF"/>
          <w:lang w:eastAsia="pl-PL"/>
        </w:rPr>
      </w:pPr>
      <w:r w:rsidRPr="00CB7240">
        <w:rPr>
          <w:rFonts w:ascii="Bookman Old Style" w:eastAsia="Times New Roman" w:hAnsi="Bookman Old Style" w:cs="Arial"/>
          <w:color w:val="404040" w:themeColor="text1" w:themeTint="BF"/>
          <w:lang w:eastAsia="pl-PL"/>
        </w:rPr>
        <w:t>wszystkie substancje są jakościowo odrębne, w przeciwnym wypadku niemożliwe byłoby wytłumaczenie tak dużej różnorodności. Prawdziwy byt, składa się z indywidualnych substancji, które nazwał 'entelechiami', ale częściej nazywał je 'monadami', na podkreślenie tego, że SA prostymi jednostkami.</w:t>
      </w:r>
    </w:p>
    <w:p w:rsidR="004D635A" w:rsidRPr="00CB7240" w:rsidRDefault="004D635A" w:rsidP="004D635A">
      <w:pPr>
        <w:numPr>
          <w:ilvl w:val="0"/>
          <w:numId w:val="1"/>
        </w:numPr>
        <w:shd w:val="clear" w:color="auto" w:fill="FFFFFF"/>
        <w:spacing w:before="45" w:after="0" w:line="240" w:lineRule="auto"/>
        <w:ind w:left="0"/>
        <w:jc w:val="both"/>
        <w:textAlignment w:val="baseline"/>
        <w:rPr>
          <w:rFonts w:ascii="Bookman Old Style" w:eastAsia="Times New Roman" w:hAnsi="Bookman Old Style" w:cs="Arial"/>
          <w:color w:val="404040" w:themeColor="text1" w:themeTint="BF"/>
          <w:lang w:eastAsia="pl-PL"/>
        </w:rPr>
      </w:pPr>
      <w:r w:rsidRPr="00CB7240">
        <w:rPr>
          <w:rFonts w:ascii="Bookman Old Style" w:eastAsia="Times New Roman" w:hAnsi="Bookman Old Style" w:cs="Arial"/>
          <w:color w:val="404040" w:themeColor="text1" w:themeTint="BF"/>
          <w:lang w:eastAsia="pl-PL"/>
        </w:rPr>
        <w:t>substancje nie działają na zasadzie, jedna na drugą. Nie uznawał takiego rozwiązania, że substancja ulega czemuś z zewnątrz i sama tez działa na zewnątrz. Monada jest zamkniętym kosmosem. Jak sam Leibniz mówił: "Monada nie ma okien".</w:t>
      </w:r>
    </w:p>
    <w:p w:rsidR="004D635A" w:rsidRPr="00CB7240" w:rsidRDefault="004D635A" w:rsidP="004D635A">
      <w:pPr>
        <w:numPr>
          <w:ilvl w:val="0"/>
          <w:numId w:val="1"/>
        </w:numPr>
        <w:shd w:val="clear" w:color="auto" w:fill="FFFFFF"/>
        <w:spacing w:before="45" w:after="0" w:line="240" w:lineRule="auto"/>
        <w:ind w:left="0"/>
        <w:jc w:val="both"/>
        <w:textAlignment w:val="baseline"/>
        <w:rPr>
          <w:rFonts w:ascii="Bookman Old Style" w:eastAsia="Times New Roman" w:hAnsi="Bookman Old Style" w:cs="Arial"/>
          <w:color w:val="404040" w:themeColor="text1" w:themeTint="BF"/>
          <w:lang w:eastAsia="pl-PL"/>
        </w:rPr>
      </w:pPr>
      <w:r w:rsidRPr="00CB7240">
        <w:rPr>
          <w:rFonts w:ascii="Bookman Old Style" w:eastAsia="Times New Roman" w:hAnsi="Bookman Old Style" w:cs="Arial"/>
          <w:color w:val="404040" w:themeColor="text1" w:themeTint="BF"/>
          <w:lang w:eastAsia="pl-PL"/>
        </w:rPr>
        <w:t>Substancje obdarzone są siłami. Rozumiał to jako zdolność rozporządzania siłami.</w:t>
      </w:r>
    </w:p>
    <w:p w:rsidR="004D635A" w:rsidRPr="00CB7240" w:rsidRDefault="004D635A" w:rsidP="004D635A">
      <w:pPr>
        <w:numPr>
          <w:ilvl w:val="0"/>
          <w:numId w:val="1"/>
        </w:numPr>
        <w:shd w:val="clear" w:color="auto" w:fill="FFFFFF"/>
        <w:spacing w:before="45" w:after="0" w:line="240" w:lineRule="auto"/>
        <w:ind w:left="0"/>
        <w:jc w:val="both"/>
        <w:textAlignment w:val="baseline"/>
        <w:rPr>
          <w:rFonts w:ascii="Bookman Old Style" w:eastAsia="Times New Roman" w:hAnsi="Bookman Old Style" w:cs="Arial"/>
          <w:color w:val="404040" w:themeColor="text1" w:themeTint="BF"/>
          <w:lang w:eastAsia="pl-PL"/>
        </w:rPr>
      </w:pPr>
      <w:r w:rsidRPr="00CB7240">
        <w:rPr>
          <w:rFonts w:ascii="Bookman Old Style" w:eastAsia="Times New Roman" w:hAnsi="Bookman Old Style" w:cs="Arial"/>
          <w:color w:val="404040" w:themeColor="text1" w:themeTint="BF"/>
          <w:lang w:eastAsia="pl-PL"/>
        </w:rPr>
        <w:t>substancje są niematerialne i nierozciągłe. Wszystko to co jest podzielne, nie jest substancją, ale jedynie mnogością substancji. Rozciągłość jest podzielna, a więc substancje są nierozciągłe. A że materia jest rozciągła, to substancja jest niematerialna. Substancje, które są obdarzone siłami, nierozciągłe, indywidualne i niepodzielne, są bardziej podobne do duszy, niż do ciała.</w:t>
      </w:r>
    </w:p>
    <w:p w:rsidR="004D635A" w:rsidRPr="00CB7240" w:rsidRDefault="004D635A" w:rsidP="004D635A">
      <w:pPr>
        <w:numPr>
          <w:ilvl w:val="0"/>
          <w:numId w:val="1"/>
        </w:numPr>
        <w:shd w:val="clear" w:color="auto" w:fill="FFFFFF"/>
        <w:spacing w:before="45" w:after="0" w:line="240" w:lineRule="auto"/>
        <w:ind w:left="0"/>
        <w:jc w:val="both"/>
        <w:textAlignment w:val="baseline"/>
        <w:rPr>
          <w:rFonts w:ascii="Bookman Old Style" w:eastAsia="Times New Roman" w:hAnsi="Bookman Old Style" w:cs="Arial"/>
          <w:color w:val="404040" w:themeColor="text1" w:themeTint="BF"/>
          <w:lang w:eastAsia="pl-PL"/>
        </w:rPr>
      </w:pPr>
      <w:r w:rsidRPr="00CB7240">
        <w:rPr>
          <w:rFonts w:ascii="Bookman Old Style" w:eastAsia="Times New Roman" w:hAnsi="Bookman Old Style" w:cs="Arial"/>
          <w:color w:val="404040" w:themeColor="text1" w:themeTint="BF"/>
          <w:lang w:eastAsia="pl-PL"/>
        </w:rPr>
        <w:t>substancje mają zdolność postrzegania. Jego postrzeżenia miały różny stopień świadomości, jasności i wyrazistości. Rozumiał je bardzo szeroko. Tylko Bóg, który jest doskonałą monadą, postrzega wszystko z doskonałą jasnością. Postrzeżenia są tym, co różni monady.</w:t>
      </w:r>
    </w:p>
    <w:p w:rsidR="004D635A" w:rsidRPr="00CB7240" w:rsidRDefault="004D635A" w:rsidP="004D635A">
      <w:pPr>
        <w:numPr>
          <w:ilvl w:val="0"/>
          <w:numId w:val="1"/>
        </w:numPr>
        <w:shd w:val="clear" w:color="auto" w:fill="FFFFFF"/>
        <w:spacing w:before="45" w:after="0" w:line="240" w:lineRule="auto"/>
        <w:ind w:left="0"/>
        <w:jc w:val="both"/>
        <w:textAlignment w:val="baseline"/>
        <w:rPr>
          <w:rFonts w:ascii="Bookman Old Style" w:eastAsia="Times New Roman" w:hAnsi="Bookman Old Style" w:cs="Arial"/>
          <w:color w:val="404040" w:themeColor="text1" w:themeTint="BF"/>
          <w:lang w:eastAsia="pl-PL"/>
        </w:rPr>
      </w:pPr>
      <w:r w:rsidRPr="00CB7240">
        <w:rPr>
          <w:rFonts w:ascii="Bookman Old Style" w:eastAsia="Times New Roman" w:hAnsi="Bookman Old Style" w:cs="Arial"/>
          <w:color w:val="404040" w:themeColor="text1" w:themeTint="BF"/>
          <w:lang w:eastAsia="pl-PL"/>
        </w:rPr>
        <w:t>zjawiskiem substancji jest ciało. Skoro ciała nie są substancjami, to są jej zjawiskami. Dzięki ciału, monady mogą się widzieć. Przestrzeń i czas nie są w naturze substancji, ponieważ są formami mnogości.</w:t>
      </w:r>
    </w:p>
    <w:p w:rsidR="004D635A" w:rsidRPr="00CB7240" w:rsidRDefault="004D635A" w:rsidP="004D635A">
      <w:pPr>
        <w:numPr>
          <w:ilvl w:val="0"/>
          <w:numId w:val="1"/>
        </w:numPr>
        <w:shd w:val="clear" w:color="auto" w:fill="FFFFFF"/>
        <w:spacing w:before="45" w:after="0" w:line="240" w:lineRule="auto"/>
        <w:ind w:left="0"/>
        <w:jc w:val="both"/>
        <w:textAlignment w:val="baseline"/>
        <w:rPr>
          <w:rFonts w:ascii="Bookman Old Style" w:eastAsia="Times New Roman" w:hAnsi="Bookman Old Style" w:cs="Arial"/>
          <w:color w:val="404040" w:themeColor="text1" w:themeTint="BF"/>
          <w:lang w:eastAsia="pl-PL"/>
        </w:rPr>
      </w:pPr>
      <w:r w:rsidRPr="00CB7240">
        <w:rPr>
          <w:rFonts w:ascii="Bookman Old Style" w:eastAsia="Times New Roman" w:hAnsi="Bookman Old Style" w:cs="Arial"/>
          <w:color w:val="404040" w:themeColor="text1" w:themeTint="BF"/>
          <w:lang w:eastAsia="pl-PL"/>
        </w:rPr>
        <w:t>substancje działają celowo. W ich naturze są również pożądania, które powodują przemiany w monadach. Pożądania kierują się do wyznaczonych celów, pożądań.</w:t>
      </w:r>
    </w:p>
    <w:p w:rsidR="004D635A" w:rsidRPr="00CB7240" w:rsidRDefault="004D635A" w:rsidP="004D635A">
      <w:pPr>
        <w:numPr>
          <w:ilvl w:val="0"/>
          <w:numId w:val="1"/>
        </w:numPr>
        <w:shd w:val="clear" w:color="auto" w:fill="FFFFFF"/>
        <w:spacing w:before="45" w:after="0" w:line="240" w:lineRule="auto"/>
        <w:ind w:left="0"/>
        <w:jc w:val="both"/>
        <w:textAlignment w:val="baseline"/>
        <w:rPr>
          <w:rFonts w:ascii="Bookman Old Style" w:eastAsia="Times New Roman" w:hAnsi="Bookman Old Style" w:cs="Arial"/>
          <w:color w:val="404040" w:themeColor="text1" w:themeTint="BF"/>
          <w:lang w:eastAsia="pl-PL"/>
        </w:rPr>
      </w:pPr>
      <w:r w:rsidRPr="00CB7240">
        <w:rPr>
          <w:rFonts w:ascii="Bookman Old Style" w:eastAsia="Times New Roman" w:hAnsi="Bookman Old Style" w:cs="Arial"/>
          <w:color w:val="404040" w:themeColor="text1" w:themeTint="BF"/>
          <w:lang w:eastAsia="pl-PL"/>
        </w:rPr>
        <w:t>substancje są hierarchiczne. Hierarchia zależy od doskonałości. Na szczycie tej hierarchii jest Bóg.</w:t>
      </w:r>
    </w:p>
    <w:p w:rsidR="004D635A" w:rsidRPr="004D635A" w:rsidRDefault="004D635A" w:rsidP="004D635A">
      <w:pPr>
        <w:numPr>
          <w:ilvl w:val="0"/>
          <w:numId w:val="1"/>
        </w:numPr>
        <w:shd w:val="clear" w:color="auto" w:fill="FFFFFF"/>
        <w:spacing w:after="0" w:line="240" w:lineRule="auto"/>
        <w:ind w:left="0"/>
        <w:jc w:val="both"/>
        <w:textAlignment w:val="baseline"/>
        <w:rPr>
          <w:rFonts w:ascii="Bookman Old Style" w:eastAsia="Times New Roman" w:hAnsi="Bookman Old Style" w:cs="Arial"/>
          <w:color w:val="404040" w:themeColor="text1" w:themeTint="BF"/>
          <w:lang w:eastAsia="pl-PL"/>
        </w:rPr>
      </w:pPr>
      <w:r w:rsidRPr="00CB7240">
        <w:rPr>
          <w:rFonts w:ascii="Bookman Old Style" w:eastAsia="Times New Roman" w:hAnsi="Bookman Old Style" w:cs="Arial"/>
          <w:color w:val="404040" w:themeColor="text1" w:themeTint="BF"/>
          <w:lang w:eastAsia="pl-PL"/>
        </w:rPr>
        <w:t>substancje tworzą harmonijny zespół. Pomimo że są odrębne i indywidualne, to zgadzają się ze sobą.</w:t>
      </w:r>
      <w:r w:rsidRPr="004D635A">
        <w:rPr>
          <w:rFonts w:ascii="Bookman Old Style" w:eastAsia="Times New Roman" w:hAnsi="Bookman Old Style" w:cs="Arial"/>
          <w:color w:val="404040" w:themeColor="text1" w:themeTint="BF"/>
          <w:lang w:eastAsia="pl-PL"/>
        </w:rPr>
        <w:t> </w:t>
      </w:r>
      <w:r w:rsidRPr="004D635A">
        <w:rPr>
          <w:rFonts w:ascii="Bookman Old Style" w:eastAsia="Times New Roman" w:hAnsi="Bookman Old Style" w:cs="Arial"/>
          <w:b/>
          <w:bCs/>
          <w:color w:val="404040" w:themeColor="text1" w:themeTint="BF"/>
          <w:u w:val="single"/>
          <w:bdr w:val="none" w:sz="0" w:space="0" w:color="auto" w:frame="1"/>
          <w:lang w:eastAsia="pl-PL"/>
        </w:rPr>
        <w:t>Harmonia</w:t>
      </w:r>
      <w:r w:rsidRPr="004D635A">
        <w:rPr>
          <w:rFonts w:ascii="Bookman Old Style" w:eastAsia="Times New Roman" w:hAnsi="Bookman Old Style" w:cs="Arial"/>
          <w:color w:val="404040" w:themeColor="text1" w:themeTint="BF"/>
          <w:bdr w:val="none" w:sz="0" w:space="0" w:color="auto" w:frame="1"/>
          <w:lang w:eastAsia="pl-PL"/>
        </w:rPr>
        <w:t> </w:t>
      </w:r>
      <w:r w:rsidRPr="00CB7240">
        <w:rPr>
          <w:rFonts w:ascii="Bookman Old Style" w:eastAsia="Times New Roman" w:hAnsi="Bookman Old Style" w:cs="Arial"/>
          <w:color w:val="404040" w:themeColor="text1" w:themeTint="BF"/>
          <w:lang w:eastAsia="pl-PL"/>
        </w:rPr>
        <w:t>ustalona jest przez Boga. Świat który obecnie istnieje, jest najlepszy i najdoskonalszy. Oczywiście zgadzał się z tym, że świat jest niedoskonały w szczegółach, czyli że istnieje metafizyczne zło, fizyczne i moralne, czyli ograniczoność skończonego bytu, cierpienie i grzech. Ale uważał, że te niedoskonałości, konieczne są dla większej doskonałości świata, jako całości. Jednym z objawów doskonałości, jest wolność.</w:t>
      </w:r>
    </w:p>
    <w:p w:rsidR="004D635A" w:rsidRPr="004D635A" w:rsidRDefault="004D635A" w:rsidP="004D635A">
      <w:pPr>
        <w:shd w:val="clear" w:color="auto" w:fill="FFFFFF"/>
        <w:spacing w:after="0" w:line="240" w:lineRule="auto"/>
        <w:jc w:val="both"/>
        <w:textAlignment w:val="baseline"/>
        <w:rPr>
          <w:rFonts w:ascii="Bookman Old Style" w:eastAsia="Times New Roman" w:hAnsi="Bookman Old Style" w:cs="Arial"/>
          <w:color w:val="404040" w:themeColor="text1" w:themeTint="BF"/>
          <w:lang w:eastAsia="pl-PL"/>
        </w:rPr>
      </w:pPr>
      <w:r w:rsidRPr="004D635A">
        <w:rPr>
          <w:rFonts w:ascii="Bookman Old Style" w:eastAsia="Times New Roman" w:hAnsi="Bookman Old Style" w:cs="Arial"/>
          <w:b/>
          <w:color w:val="404040" w:themeColor="text1" w:themeTint="BF"/>
          <w:lang w:eastAsia="pl-PL"/>
        </w:rPr>
        <w:t>LOGIKA</w:t>
      </w:r>
      <w:r w:rsidRPr="004D635A">
        <w:rPr>
          <w:rFonts w:ascii="Bookman Old Style" w:eastAsia="Times New Roman" w:hAnsi="Bookman Old Style" w:cs="Arial"/>
          <w:color w:val="404040" w:themeColor="text1" w:themeTint="BF"/>
          <w:lang w:eastAsia="pl-PL"/>
        </w:rPr>
        <w:t xml:space="preserve">. </w:t>
      </w:r>
      <w:r w:rsidRPr="00CB7240">
        <w:rPr>
          <w:rFonts w:ascii="Bookman Old Style" w:eastAsia="Times New Roman" w:hAnsi="Bookman Old Style" w:cs="Arial"/>
          <w:color w:val="404040" w:themeColor="text1" w:themeTint="BF"/>
          <w:lang w:eastAsia="pl-PL"/>
        </w:rPr>
        <w:t>Leibniz zajmował się logiką formalną. Wprowadził tu nowe i przewrotne teorie. Prawdami pierwotnymi są tylko te, które mają zdania wyraźnie identyczne. Wszystkie pozostałe są prawdami pochodnymi. Prawdy pochodne dzielą się na: konieczne lub przypadkowe, rozumne lub faktyczne. Prawdy te odnoszą się jedynie do możliwości, a nie do faktów. Innym rodzajem prawd, są prawdy faktyczne. Pochodzą z prawd pierwotnych.</w:t>
      </w:r>
    </w:p>
    <w:p w:rsidR="004D635A" w:rsidRPr="00CB7240" w:rsidRDefault="004D635A" w:rsidP="004D635A">
      <w:pPr>
        <w:shd w:val="clear" w:color="auto" w:fill="FFFFFF"/>
        <w:spacing w:before="240" w:after="0" w:line="240" w:lineRule="auto"/>
        <w:jc w:val="both"/>
        <w:textAlignment w:val="baseline"/>
        <w:rPr>
          <w:rFonts w:ascii="Bookman Old Style" w:eastAsia="Times New Roman" w:hAnsi="Bookman Old Style" w:cs="Arial"/>
          <w:color w:val="404040" w:themeColor="text1" w:themeTint="BF"/>
          <w:lang w:eastAsia="pl-PL"/>
        </w:rPr>
      </w:pPr>
      <w:r w:rsidRPr="00CB7240">
        <w:rPr>
          <w:rFonts w:ascii="Bookman Old Style" w:eastAsia="Times New Roman" w:hAnsi="Bookman Old Style" w:cs="Arial"/>
          <w:b/>
          <w:color w:val="404040" w:themeColor="text1" w:themeTint="BF"/>
          <w:lang w:eastAsia="pl-PL"/>
        </w:rPr>
        <w:t>Wyróżnia trzy rodzaje prawd:</w:t>
      </w:r>
    </w:p>
    <w:p w:rsidR="004D635A" w:rsidRPr="00CB7240" w:rsidRDefault="004D635A" w:rsidP="004D635A">
      <w:pPr>
        <w:numPr>
          <w:ilvl w:val="0"/>
          <w:numId w:val="2"/>
        </w:numPr>
        <w:shd w:val="clear" w:color="auto" w:fill="FFFFFF"/>
        <w:spacing w:before="45" w:after="0" w:line="240" w:lineRule="auto"/>
        <w:ind w:left="0"/>
        <w:jc w:val="both"/>
        <w:textAlignment w:val="baseline"/>
        <w:rPr>
          <w:rFonts w:ascii="Bookman Old Style" w:eastAsia="Times New Roman" w:hAnsi="Bookman Old Style" w:cs="Arial"/>
          <w:color w:val="404040" w:themeColor="text1" w:themeTint="BF"/>
          <w:lang w:eastAsia="pl-PL"/>
        </w:rPr>
      </w:pPr>
      <w:r w:rsidRPr="00CB7240">
        <w:rPr>
          <w:rFonts w:ascii="Bookman Old Style" w:eastAsia="Times New Roman" w:hAnsi="Bookman Old Style" w:cs="Arial"/>
          <w:color w:val="404040" w:themeColor="text1" w:themeTint="BF"/>
          <w:lang w:eastAsia="pl-PL"/>
        </w:rPr>
        <w:t>pierwotne</w:t>
      </w:r>
    </w:p>
    <w:p w:rsidR="004D635A" w:rsidRPr="00CB7240" w:rsidRDefault="004D635A" w:rsidP="004D635A">
      <w:pPr>
        <w:numPr>
          <w:ilvl w:val="0"/>
          <w:numId w:val="2"/>
        </w:numPr>
        <w:shd w:val="clear" w:color="auto" w:fill="FFFFFF"/>
        <w:spacing w:before="45" w:after="0" w:line="240" w:lineRule="auto"/>
        <w:ind w:left="0"/>
        <w:jc w:val="both"/>
        <w:textAlignment w:val="baseline"/>
        <w:rPr>
          <w:rFonts w:ascii="Bookman Old Style" w:eastAsia="Times New Roman" w:hAnsi="Bookman Old Style" w:cs="Arial"/>
          <w:color w:val="404040" w:themeColor="text1" w:themeTint="BF"/>
          <w:lang w:eastAsia="pl-PL"/>
        </w:rPr>
      </w:pPr>
      <w:r w:rsidRPr="00CB7240">
        <w:rPr>
          <w:rFonts w:ascii="Bookman Old Style" w:eastAsia="Times New Roman" w:hAnsi="Bookman Old Style" w:cs="Arial"/>
          <w:color w:val="404040" w:themeColor="text1" w:themeTint="BF"/>
          <w:lang w:eastAsia="pl-PL"/>
        </w:rPr>
        <w:t>pochodne - rozumowe</w:t>
      </w:r>
    </w:p>
    <w:p w:rsidR="004D635A" w:rsidRPr="00CB7240" w:rsidRDefault="004D635A" w:rsidP="004D635A">
      <w:pPr>
        <w:numPr>
          <w:ilvl w:val="0"/>
          <w:numId w:val="2"/>
        </w:numPr>
        <w:shd w:val="clear" w:color="auto" w:fill="FFFFFF"/>
        <w:spacing w:before="45" w:after="0" w:line="240" w:lineRule="auto"/>
        <w:ind w:left="0"/>
        <w:jc w:val="both"/>
        <w:textAlignment w:val="baseline"/>
        <w:rPr>
          <w:rFonts w:ascii="Bookman Old Style" w:eastAsia="Times New Roman" w:hAnsi="Bookman Old Style" w:cs="Arial"/>
          <w:color w:val="404040" w:themeColor="text1" w:themeTint="BF"/>
          <w:lang w:eastAsia="pl-PL"/>
        </w:rPr>
      </w:pPr>
      <w:r w:rsidRPr="00CB7240">
        <w:rPr>
          <w:rFonts w:ascii="Bookman Old Style" w:eastAsia="Times New Roman" w:hAnsi="Bookman Old Style" w:cs="Arial"/>
          <w:color w:val="404040" w:themeColor="text1" w:themeTint="BF"/>
          <w:lang w:eastAsia="pl-PL"/>
        </w:rPr>
        <w:t>pochodne - faktyczne</w:t>
      </w:r>
    </w:p>
    <w:p w:rsidR="004D635A" w:rsidRPr="00CB7240" w:rsidRDefault="004D635A" w:rsidP="004D635A">
      <w:pPr>
        <w:shd w:val="clear" w:color="auto" w:fill="FFFFFF"/>
        <w:spacing w:before="240" w:after="0" w:line="240" w:lineRule="auto"/>
        <w:jc w:val="both"/>
        <w:textAlignment w:val="baseline"/>
        <w:rPr>
          <w:rFonts w:ascii="Bookman Old Style" w:eastAsia="Times New Roman" w:hAnsi="Bookman Old Style" w:cs="Arial"/>
          <w:b/>
          <w:color w:val="404040" w:themeColor="text1" w:themeTint="BF"/>
          <w:lang w:eastAsia="pl-PL"/>
        </w:rPr>
      </w:pPr>
      <w:r w:rsidRPr="00CB7240">
        <w:rPr>
          <w:rFonts w:ascii="Bookman Old Style" w:eastAsia="Times New Roman" w:hAnsi="Bookman Old Style" w:cs="Arial"/>
          <w:b/>
          <w:color w:val="404040" w:themeColor="text1" w:themeTint="BF"/>
          <w:lang w:eastAsia="pl-PL"/>
        </w:rPr>
        <w:t>Wyróżnia trzy podstawowe zasady logiczne:</w:t>
      </w:r>
    </w:p>
    <w:p w:rsidR="004D635A" w:rsidRPr="00CB7240" w:rsidRDefault="004D635A" w:rsidP="004D635A">
      <w:pPr>
        <w:numPr>
          <w:ilvl w:val="0"/>
          <w:numId w:val="3"/>
        </w:numPr>
        <w:shd w:val="clear" w:color="auto" w:fill="FFFFFF"/>
        <w:spacing w:before="45" w:after="0" w:line="240" w:lineRule="auto"/>
        <w:ind w:left="0"/>
        <w:jc w:val="both"/>
        <w:textAlignment w:val="baseline"/>
        <w:rPr>
          <w:rFonts w:ascii="Bookman Old Style" w:eastAsia="Times New Roman" w:hAnsi="Bookman Old Style" w:cs="Arial"/>
          <w:color w:val="404040" w:themeColor="text1" w:themeTint="BF"/>
          <w:lang w:eastAsia="pl-PL"/>
        </w:rPr>
      </w:pPr>
      <w:r w:rsidRPr="00CB7240">
        <w:rPr>
          <w:rFonts w:ascii="Bookman Old Style" w:eastAsia="Times New Roman" w:hAnsi="Bookman Old Style" w:cs="Arial"/>
          <w:color w:val="404040" w:themeColor="text1" w:themeTint="BF"/>
          <w:lang w:eastAsia="pl-PL"/>
        </w:rPr>
        <w:t>zasada tożsamości</w:t>
      </w:r>
    </w:p>
    <w:p w:rsidR="004D635A" w:rsidRPr="00CB7240" w:rsidRDefault="004D635A" w:rsidP="004D635A">
      <w:pPr>
        <w:numPr>
          <w:ilvl w:val="0"/>
          <w:numId w:val="3"/>
        </w:numPr>
        <w:shd w:val="clear" w:color="auto" w:fill="FFFFFF"/>
        <w:spacing w:before="45" w:after="0" w:line="240" w:lineRule="auto"/>
        <w:ind w:left="0"/>
        <w:jc w:val="both"/>
        <w:textAlignment w:val="baseline"/>
        <w:rPr>
          <w:rFonts w:ascii="Bookman Old Style" w:eastAsia="Times New Roman" w:hAnsi="Bookman Old Style" w:cs="Arial"/>
          <w:color w:val="404040" w:themeColor="text1" w:themeTint="BF"/>
          <w:lang w:eastAsia="pl-PL"/>
        </w:rPr>
      </w:pPr>
      <w:r w:rsidRPr="00CB7240">
        <w:rPr>
          <w:rFonts w:ascii="Bookman Old Style" w:eastAsia="Times New Roman" w:hAnsi="Bookman Old Style" w:cs="Arial"/>
          <w:color w:val="404040" w:themeColor="text1" w:themeTint="BF"/>
          <w:lang w:eastAsia="pl-PL"/>
        </w:rPr>
        <w:t>zasada sprzeczności</w:t>
      </w:r>
    </w:p>
    <w:p w:rsidR="004D635A" w:rsidRPr="00CB7240" w:rsidRDefault="004D635A" w:rsidP="004D635A">
      <w:pPr>
        <w:numPr>
          <w:ilvl w:val="0"/>
          <w:numId w:val="3"/>
        </w:numPr>
        <w:shd w:val="clear" w:color="auto" w:fill="FFFFFF"/>
        <w:spacing w:before="45" w:after="0" w:line="240" w:lineRule="auto"/>
        <w:ind w:left="0"/>
        <w:jc w:val="both"/>
        <w:textAlignment w:val="baseline"/>
        <w:rPr>
          <w:rFonts w:ascii="Bookman Old Style" w:eastAsia="Times New Roman" w:hAnsi="Bookman Old Style" w:cs="Arial"/>
          <w:color w:val="404040" w:themeColor="text1" w:themeTint="BF"/>
          <w:lang w:eastAsia="pl-PL"/>
        </w:rPr>
      </w:pPr>
      <w:r w:rsidRPr="00CB7240">
        <w:rPr>
          <w:rFonts w:ascii="Bookman Old Style" w:eastAsia="Times New Roman" w:hAnsi="Bookman Old Style" w:cs="Arial"/>
          <w:color w:val="404040" w:themeColor="text1" w:themeTint="BF"/>
          <w:lang w:eastAsia="pl-PL"/>
        </w:rPr>
        <w:t>zasada racji dostatecznej</w:t>
      </w:r>
    </w:p>
    <w:p w:rsidR="004D635A" w:rsidRPr="00CB7240" w:rsidRDefault="004D635A" w:rsidP="004D635A">
      <w:pPr>
        <w:shd w:val="clear" w:color="auto" w:fill="FFFFFF"/>
        <w:spacing w:before="240" w:after="0" w:line="240" w:lineRule="auto"/>
        <w:jc w:val="both"/>
        <w:textAlignment w:val="baseline"/>
        <w:rPr>
          <w:rFonts w:ascii="Bookman Old Style" w:eastAsia="Times New Roman" w:hAnsi="Bookman Old Style" w:cs="Arial"/>
          <w:color w:val="404040" w:themeColor="text1" w:themeTint="BF"/>
          <w:lang w:eastAsia="pl-PL"/>
        </w:rPr>
      </w:pPr>
      <w:r w:rsidRPr="00CB7240">
        <w:rPr>
          <w:rFonts w:ascii="Bookman Old Style" w:eastAsia="Times New Roman" w:hAnsi="Bookman Old Style" w:cs="Arial"/>
          <w:color w:val="404040" w:themeColor="text1" w:themeTint="BF"/>
          <w:lang w:eastAsia="pl-PL"/>
        </w:rPr>
        <w:lastRenderedPageBreak/>
        <w:t>Naczelną i najważniejszą zasadą, jest zasada tożsamości. Pozostałe dwie zasady za zadanie miały sprowadzenie zdań pochodnych, do pierwotnych.</w:t>
      </w:r>
    </w:p>
    <w:p w:rsidR="004D635A" w:rsidRPr="00CB7240" w:rsidRDefault="004D635A" w:rsidP="004D635A">
      <w:pPr>
        <w:shd w:val="clear" w:color="auto" w:fill="FFFFFF"/>
        <w:spacing w:before="240" w:after="0" w:line="240" w:lineRule="auto"/>
        <w:jc w:val="both"/>
        <w:textAlignment w:val="baseline"/>
        <w:rPr>
          <w:rFonts w:ascii="Bookman Old Style" w:eastAsia="Times New Roman" w:hAnsi="Bookman Old Style" w:cs="Arial"/>
          <w:color w:val="404040" w:themeColor="text1" w:themeTint="BF"/>
          <w:lang w:eastAsia="pl-PL"/>
        </w:rPr>
      </w:pPr>
      <w:r w:rsidRPr="00CB7240">
        <w:rPr>
          <w:rFonts w:ascii="Bookman Old Style" w:eastAsia="Times New Roman" w:hAnsi="Bookman Old Style" w:cs="Arial"/>
          <w:color w:val="404040" w:themeColor="text1" w:themeTint="BF"/>
          <w:lang w:eastAsia="pl-PL"/>
        </w:rPr>
        <w:t xml:space="preserve">Drugim i nie ogłoszonym systemem Leibniza był następujący. Skoro wszystkie prawdy są racjonalne, to racjonalna musi być też rzeczywistość. Nie może być też wolności, jeżeli wszystko co substancja doświadcza, zawarte jest najpierw w pojęciu. Był to radykalny determinizm. Leibniz tak mówił: "Istniejącym jest ten byt, który jest </w:t>
      </w:r>
      <w:proofErr w:type="spellStart"/>
      <w:r w:rsidRPr="00CB7240">
        <w:rPr>
          <w:rFonts w:ascii="Bookman Old Style" w:eastAsia="Times New Roman" w:hAnsi="Bookman Old Style" w:cs="Arial"/>
          <w:color w:val="404040" w:themeColor="text1" w:themeTint="BF"/>
          <w:lang w:eastAsia="pl-PL"/>
        </w:rPr>
        <w:t>współmożliwy</w:t>
      </w:r>
      <w:proofErr w:type="spellEnd"/>
      <w:r w:rsidRPr="00CB7240">
        <w:rPr>
          <w:rFonts w:ascii="Bookman Old Style" w:eastAsia="Times New Roman" w:hAnsi="Bookman Old Style" w:cs="Arial"/>
          <w:color w:val="404040" w:themeColor="text1" w:themeTint="BF"/>
          <w:lang w:eastAsia="pl-PL"/>
        </w:rPr>
        <w:t xml:space="preserve"> z największą ilością rzeczy". Zgodnie z tą teorią, wszystko na świecie było zdeterminowane i niezależne nie tylko od woli człowieka, ale również od woli Boga. Jednak te teorie nie były nigdy podane do publicznej wiadomości przez Leibniza, być może dlatego, że pragną być lojalny wobec nauki chrześcijańskiej.</w:t>
      </w:r>
    </w:p>
    <w:p w:rsidR="004D635A" w:rsidRPr="00CB7240" w:rsidRDefault="004D635A" w:rsidP="004D635A">
      <w:pPr>
        <w:shd w:val="clear" w:color="auto" w:fill="FFFFFF"/>
        <w:spacing w:before="240" w:after="0" w:line="240" w:lineRule="auto"/>
        <w:jc w:val="both"/>
        <w:textAlignment w:val="baseline"/>
        <w:rPr>
          <w:rFonts w:ascii="Bookman Old Style" w:eastAsia="Times New Roman" w:hAnsi="Bookman Old Style" w:cs="Arial"/>
          <w:color w:val="595959" w:themeColor="text1" w:themeTint="A6"/>
          <w:lang w:eastAsia="pl-PL"/>
        </w:rPr>
      </w:pPr>
      <w:r w:rsidRPr="00CB7240">
        <w:rPr>
          <w:rFonts w:ascii="Bookman Old Style" w:eastAsia="Times New Roman" w:hAnsi="Bookman Old Style" w:cs="Arial"/>
          <w:color w:val="404040" w:themeColor="text1" w:themeTint="BF"/>
          <w:lang w:eastAsia="pl-PL"/>
        </w:rPr>
        <w:t xml:space="preserve">Leibniz jest filozofem bardzo znaczącym w dziejach całej filozofii, ponieważ stworzył nowy system, który był jednolity. System Leibniza jest: optymistyczny, </w:t>
      </w:r>
      <w:r w:rsidRPr="00CB7240">
        <w:rPr>
          <w:rFonts w:ascii="Bookman Old Style" w:eastAsia="Times New Roman" w:hAnsi="Bookman Old Style" w:cs="Arial"/>
          <w:color w:val="595959" w:themeColor="text1" w:themeTint="A6"/>
          <w:lang w:eastAsia="pl-PL"/>
        </w:rPr>
        <w:t xml:space="preserve">racjonalistyczny, </w:t>
      </w:r>
      <w:proofErr w:type="spellStart"/>
      <w:r w:rsidRPr="00CB7240">
        <w:rPr>
          <w:rFonts w:ascii="Bookman Old Style" w:eastAsia="Times New Roman" w:hAnsi="Bookman Old Style" w:cs="Arial"/>
          <w:color w:val="595959" w:themeColor="text1" w:themeTint="A6"/>
          <w:lang w:eastAsia="pl-PL"/>
        </w:rPr>
        <w:t>harmonistyczny</w:t>
      </w:r>
      <w:proofErr w:type="spellEnd"/>
      <w:r w:rsidRPr="00CB7240">
        <w:rPr>
          <w:rFonts w:ascii="Bookman Old Style" w:eastAsia="Times New Roman" w:hAnsi="Bookman Old Style" w:cs="Arial"/>
          <w:color w:val="595959" w:themeColor="text1" w:themeTint="A6"/>
          <w:lang w:eastAsia="pl-PL"/>
        </w:rPr>
        <w:t>, pluralistyczny, finalistyczny, indywidualistyczny, spirytualistyczny i </w:t>
      </w:r>
      <w:proofErr w:type="spellStart"/>
      <w:r w:rsidRPr="00CB7240">
        <w:rPr>
          <w:rFonts w:ascii="Bookman Old Style" w:eastAsia="Times New Roman" w:hAnsi="Bookman Old Style" w:cs="Arial"/>
          <w:color w:val="595959" w:themeColor="text1" w:themeTint="A6"/>
          <w:lang w:eastAsia="pl-PL"/>
        </w:rPr>
        <w:t>dynamistyczny</w:t>
      </w:r>
      <w:proofErr w:type="spellEnd"/>
      <w:r w:rsidRPr="00CB7240">
        <w:rPr>
          <w:rFonts w:ascii="Bookman Old Style" w:eastAsia="Times New Roman" w:hAnsi="Bookman Old Style" w:cs="Arial"/>
          <w:color w:val="595959" w:themeColor="text1" w:themeTint="A6"/>
          <w:lang w:eastAsia="pl-PL"/>
        </w:rPr>
        <w:t>.</w:t>
      </w:r>
    </w:p>
    <w:p w:rsidR="004D635A" w:rsidRPr="00CB7240" w:rsidRDefault="004D635A" w:rsidP="004D635A">
      <w:pPr>
        <w:shd w:val="clear" w:color="auto" w:fill="FFFFFF"/>
        <w:spacing w:before="240" w:after="0" w:line="240" w:lineRule="auto"/>
        <w:jc w:val="both"/>
        <w:textAlignment w:val="baseline"/>
        <w:rPr>
          <w:rFonts w:ascii="Bookman Old Style" w:eastAsia="Times New Roman" w:hAnsi="Bookman Old Style" w:cs="Arial"/>
          <w:color w:val="595959" w:themeColor="text1" w:themeTint="A6"/>
          <w:lang w:eastAsia="pl-PL"/>
        </w:rPr>
      </w:pPr>
      <w:r w:rsidRPr="00CB7240">
        <w:rPr>
          <w:rFonts w:ascii="Bookman Old Style" w:eastAsia="Times New Roman" w:hAnsi="Bookman Old Style" w:cs="Arial"/>
          <w:color w:val="595959" w:themeColor="text1" w:themeTint="A6"/>
          <w:lang w:eastAsia="pl-PL"/>
        </w:rPr>
        <w:t>Był filozofem, który starał się pogodzić i jeśli to możliwe połączyć, wszystkich ze sobą. Niestety jego zamierzenia miały inny wpływ. Był postrzegany jako wolnomyśliciel, który może stać się niebezpieczny. Jego teorie robiły wrażenie podejrzanych i szkodliwych.</w:t>
      </w:r>
    </w:p>
    <w:p w:rsidR="004D635A" w:rsidRPr="004D635A" w:rsidRDefault="004D635A" w:rsidP="004D635A">
      <w:pPr>
        <w:rPr>
          <w:rFonts w:ascii="Bookman Old Style" w:hAnsi="Bookman Old Style"/>
          <w:b/>
          <w:color w:val="000000"/>
        </w:rPr>
      </w:pPr>
    </w:p>
    <w:p w:rsidR="004D635A" w:rsidRDefault="004D635A" w:rsidP="004D635A">
      <w:pPr>
        <w:rPr>
          <w:rFonts w:ascii="Bookman Old Style" w:hAnsi="Bookman Old Style"/>
          <w:color w:val="000000"/>
          <w:shd w:val="clear" w:color="auto" w:fill="FFFFFF"/>
        </w:rPr>
      </w:pPr>
      <w:r w:rsidRPr="004D635A">
        <w:rPr>
          <w:rFonts w:ascii="Bookman Old Style" w:hAnsi="Bookman Old Style"/>
          <w:b/>
          <w:color w:val="000000"/>
        </w:rPr>
        <w:t>BERKELEY</w:t>
      </w:r>
      <w:r w:rsidRPr="004D635A">
        <w:rPr>
          <w:rFonts w:ascii="Bookman Old Style" w:hAnsi="Bookman Old Style"/>
          <w:b/>
          <w:color w:val="000000"/>
        </w:rPr>
        <w:br/>
      </w:r>
      <w:r w:rsidRPr="004D635A">
        <w:rPr>
          <w:rFonts w:ascii="Bookman Old Style" w:hAnsi="Bookman Old Style"/>
          <w:b/>
          <w:color w:val="000000"/>
          <w:shd w:val="clear" w:color="auto" w:fill="FFFFFF"/>
        </w:rPr>
        <w:t>POGLĄDY</w:t>
      </w:r>
    </w:p>
    <w:p w:rsidR="004D635A" w:rsidRDefault="004D635A" w:rsidP="004D635A">
      <w:pPr>
        <w:rPr>
          <w:rFonts w:ascii="Bookman Old Style" w:hAnsi="Bookman Old Style"/>
          <w:color w:val="000000"/>
        </w:rPr>
      </w:pPr>
      <w:r w:rsidRPr="004D635A">
        <w:rPr>
          <w:rFonts w:ascii="Bookman Old Style" w:hAnsi="Bookman Old Style"/>
          <w:color w:val="000000"/>
          <w:shd w:val="clear" w:color="auto" w:fill="FFFFFF"/>
        </w:rPr>
        <w:t>Berkeley miał bardzo śmiały i bystry umysł , posiadał rozległą wiedzę naukową. Jedna z nauk - fizjologia , a dokładniej optyka fizjologiczna miała widoczny wpływ na jego filozofię.</w:t>
      </w:r>
      <w:r w:rsidRPr="004D635A">
        <w:rPr>
          <w:rFonts w:ascii="Bookman Old Style" w:hAnsi="Bookman Old Style"/>
          <w:color w:val="000000"/>
        </w:rPr>
        <w:br/>
      </w:r>
      <w:r w:rsidRPr="004D635A">
        <w:rPr>
          <w:rFonts w:ascii="Bookman Old Style" w:hAnsi="Bookman Old Style"/>
          <w:color w:val="000000"/>
        </w:rPr>
        <w:br/>
      </w:r>
      <w:r w:rsidRPr="004D635A">
        <w:rPr>
          <w:rFonts w:ascii="Bookman Old Style" w:hAnsi="Bookman Old Style"/>
          <w:b/>
          <w:color w:val="000000"/>
          <w:shd w:val="clear" w:color="auto" w:fill="FFFFFF"/>
        </w:rPr>
        <w:t>a)SKRAJNY NOMINALIZM ((</w:t>
      </w:r>
      <w:r w:rsidRPr="004D635A">
        <w:rPr>
          <w:rFonts w:ascii="Bookman Old Style" w:hAnsi="Bookman Old Style"/>
          <w:color w:val="000000"/>
          <w:shd w:val="clear" w:color="auto" w:fill="FFFFFF"/>
        </w:rPr>
        <w:t>nawiązujący do Platona, według którego desygnaty pojęć powszechnych istnieją obiektywnie poza umysłem (bądź w umyśle Boga, bądź jako oddzielone istoty, bądź jako ta sama forma w różnych bytach)).</w:t>
      </w:r>
      <w:r w:rsidRPr="004D635A">
        <w:rPr>
          <w:rFonts w:ascii="Bookman Old Style" w:hAnsi="Bookman Old Style"/>
          <w:color w:val="000000"/>
        </w:rPr>
        <w:br/>
      </w:r>
      <w:r w:rsidRPr="004D635A">
        <w:rPr>
          <w:rFonts w:ascii="Bookman Old Style" w:hAnsi="Bookman Old Style"/>
          <w:color w:val="000000"/>
        </w:rPr>
        <w:br/>
      </w:r>
      <w:r w:rsidRPr="004D635A">
        <w:rPr>
          <w:rFonts w:ascii="Bookman Old Style" w:hAnsi="Bookman Old Style"/>
          <w:color w:val="000000"/>
          <w:shd w:val="clear" w:color="auto" w:fill="FFFFFF"/>
        </w:rPr>
        <w:t xml:space="preserve">Berkeley nadał bardziej skrajną postać poglądom głoszonym m.in. przez </w:t>
      </w:r>
      <w:proofErr w:type="spellStart"/>
      <w:r w:rsidRPr="004D635A">
        <w:rPr>
          <w:rFonts w:ascii="Bookman Old Style" w:hAnsi="Bookman Old Style"/>
          <w:color w:val="000000"/>
          <w:shd w:val="clear" w:color="auto" w:fill="FFFFFF"/>
        </w:rPr>
        <w:t>Locke’a</w:t>
      </w:r>
      <w:proofErr w:type="spellEnd"/>
      <w:r w:rsidRPr="004D635A">
        <w:rPr>
          <w:rFonts w:ascii="Bookman Old Style" w:hAnsi="Bookman Old Style"/>
          <w:color w:val="000000"/>
          <w:shd w:val="clear" w:color="auto" w:fill="FFFFFF"/>
        </w:rPr>
        <w:t xml:space="preserve">. Skrajność ta objawiała się przede wszystkim w poglądzie na idee ogólne i pojęcia abstrakcyjne. </w:t>
      </w:r>
      <w:proofErr w:type="spellStart"/>
      <w:r w:rsidRPr="004D635A">
        <w:rPr>
          <w:rFonts w:ascii="Bookman Old Style" w:hAnsi="Bookman Old Style"/>
          <w:color w:val="000000"/>
          <w:shd w:val="clear" w:color="auto" w:fill="FFFFFF"/>
        </w:rPr>
        <w:t>Locke</w:t>
      </w:r>
      <w:proofErr w:type="spellEnd"/>
      <w:r w:rsidRPr="004D635A">
        <w:rPr>
          <w:rFonts w:ascii="Bookman Old Style" w:hAnsi="Bookman Old Style"/>
          <w:color w:val="000000"/>
          <w:shd w:val="clear" w:color="auto" w:fill="FFFFFF"/>
        </w:rPr>
        <w:t xml:space="preserve"> zaprzeczał istnieniu przedmiotów ogólnych i abstrakcyjnych w świecie zewnętrznym , przy czym zapewniał, iż pojęcia abstrakcyjne istnieją w umysłach. Berkeley stwierdził , że w umyśle i poza umysłem tak samo nie ma nic abstrakcyjnego . Na przykład : nikt nie ma abstrakcyjnej idei rozciągłości , ponieważ nie da się przedstawić sobie rozciągłości bez takiej czy innej barwy , a nawet nie sposób przedstawić sobie barwy w ogóle , bo przedstawiona barwa musi być bądź czerwona , bądź żółta bądź jakakolwiek inna. Idea abstrakcyjna , na przykład idea „trójkąta” , który nie jest ani ostro- , ani prosto- , ani rozwartokątny , jest sprzeczna , więc istnieć nie może. Nie da się także przedstawić ruchu w ogóle , który nie byłby ani wolny , ani szybki. Każda w ogóle idea , jaką posiadamy jest zupełnie określona i konkretna. Według </w:t>
      </w:r>
      <w:proofErr w:type="spellStart"/>
      <w:r w:rsidRPr="004D635A">
        <w:rPr>
          <w:rFonts w:ascii="Bookman Old Style" w:hAnsi="Bookman Old Style"/>
          <w:color w:val="000000"/>
          <w:shd w:val="clear" w:color="auto" w:fill="FFFFFF"/>
        </w:rPr>
        <w:t>Berkeley’a</w:t>
      </w:r>
      <w:proofErr w:type="spellEnd"/>
      <w:r w:rsidRPr="004D635A">
        <w:rPr>
          <w:rFonts w:ascii="Bookman Old Style" w:hAnsi="Bookman Old Style"/>
          <w:color w:val="000000"/>
          <w:shd w:val="clear" w:color="auto" w:fill="FFFFFF"/>
        </w:rPr>
        <w:t xml:space="preserve"> nie ma ani przedmiotów ogólnych , ani idei ogólnych. Ogólne są jedynie wyrazy. W związku z tym poglądem nastąpiło u niego zwężenie terminu „idea” : u </w:t>
      </w:r>
      <w:proofErr w:type="spellStart"/>
      <w:r w:rsidRPr="004D635A">
        <w:rPr>
          <w:rFonts w:ascii="Bookman Old Style" w:hAnsi="Bookman Old Style"/>
          <w:color w:val="000000"/>
          <w:shd w:val="clear" w:color="auto" w:fill="FFFFFF"/>
        </w:rPr>
        <w:t>Locke’a</w:t>
      </w:r>
      <w:proofErr w:type="spellEnd"/>
      <w:r w:rsidRPr="004D635A">
        <w:rPr>
          <w:rFonts w:ascii="Bookman Old Style" w:hAnsi="Bookman Old Style"/>
          <w:color w:val="000000"/>
          <w:shd w:val="clear" w:color="auto" w:fill="FFFFFF"/>
        </w:rPr>
        <w:t xml:space="preserve"> znaczył on przedstawienie , a u </w:t>
      </w:r>
      <w:proofErr w:type="spellStart"/>
      <w:r w:rsidRPr="004D635A">
        <w:rPr>
          <w:rFonts w:ascii="Bookman Old Style" w:hAnsi="Bookman Old Style"/>
          <w:color w:val="000000"/>
          <w:shd w:val="clear" w:color="auto" w:fill="FFFFFF"/>
        </w:rPr>
        <w:t>Berkeley’a</w:t>
      </w:r>
      <w:proofErr w:type="spellEnd"/>
      <w:r w:rsidRPr="004D635A">
        <w:rPr>
          <w:rFonts w:ascii="Bookman Old Style" w:hAnsi="Bookman Old Style"/>
          <w:color w:val="000000"/>
          <w:shd w:val="clear" w:color="auto" w:fill="FFFFFF"/>
        </w:rPr>
        <w:t xml:space="preserve"> tylko wyobrażenie , czyli przedstawienie konkretne.</w:t>
      </w:r>
      <w:r w:rsidRPr="004D635A">
        <w:rPr>
          <w:rFonts w:ascii="Bookman Old Style" w:hAnsi="Bookman Old Style"/>
          <w:color w:val="000000"/>
        </w:rPr>
        <w:br/>
      </w:r>
      <w:r w:rsidRPr="004D635A">
        <w:rPr>
          <w:rFonts w:ascii="Bookman Old Style" w:hAnsi="Bookman Old Style"/>
          <w:color w:val="000000"/>
        </w:rPr>
        <w:br/>
      </w:r>
      <w:r w:rsidRPr="004D635A">
        <w:rPr>
          <w:rFonts w:ascii="Bookman Old Style" w:hAnsi="Bookman Old Style"/>
          <w:color w:val="000000"/>
        </w:rPr>
        <w:br/>
      </w:r>
      <w:r w:rsidRPr="004D635A">
        <w:rPr>
          <w:rFonts w:ascii="Bookman Old Style" w:hAnsi="Bookman Old Style"/>
          <w:b/>
          <w:color w:val="000000"/>
          <w:shd w:val="clear" w:color="auto" w:fill="FFFFFF"/>
        </w:rPr>
        <w:lastRenderedPageBreak/>
        <w:t>b)SKRAJNY SENSUALIZM</w:t>
      </w:r>
      <w:r w:rsidRPr="004D635A">
        <w:rPr>
          <w:rFonts w:ascii="Bookman Old Style" w:hAnsi="Bookman Old Style"/>
          <w:color w:val="000000"/>
          <w:shd w:val="clear" w:color="auto" w:fill="FFFFFF"/>
        </w:rPr>
        <w:t xml:space="preserve"> (uznaje wrażenia zmysłowe za jedyną dostępną człowiekowi rzeczywistość.)</w:t>
      </w:r>
      <w:r w:rsidRPr="004D635A">
        <w:rPr>
          <w:rFonts w:ascii="Bookman Old Style" w:hAnsi="Bookman Old Style"/>
          <w:color w:val="000000"/>
        </w:rPr>
        <w:br/>
      </w:r>
      <w:r w:rsidRPr="004D635A">
        <w:rPr>
          <w:rFonts w:ascii="Bookman Old Style" w:hAnsi="Bookman Old Style"/>
          <w:color w:val="000000"/>
        </w:rPr>
        <w:br/>
      </w:r>
      <w:r w:rsidRPr="004D635A">
        <w:rPr>
          <w:rFonts w:ascii="Bookman Old Style" w:hAnsi="Bookman Old Style"/>
          <w:color w:val="000000"/>
          <w:shd w:val="clear" w:color="auto" w:fill="FFFFFF"/>
        </w:rPr>
        <w:t>Berkeley twierdził , ze rozum jest istotnie właściwy człowiekowi , ale ma za przedmiot wyłącznie sprawy duchowe. Dla poznania ciał jedynym źródłem są zmysły. Jeśli chodzi o ciała , to wiedzieć i postrzegać to jedno i to samo. Ale Berkeley poszedł jeszcze dalej :</w:t>
      </w:r>
      <w:r w:rsidRPr="004D635A">
        <w:rPr>
          <w:rFonts w:ascii="Bookman Old Style" w:hAnsi="Bookman Old Style"/>
          <w:color w:val="000000"/>
        </w:rPr>
        <w:br/>
      </w:r>
      <w:proofErr w:type="spellStart"/>
      <w:r w:rsidRPr="004D635A">
        <w:rPr>
          <w:rFonts w:ascii="Bookman Old Style" w:hAnsi="Bookman Old Style"/>
          <w:color w:val="000000"/>
          <w:shd w:val="clear" w:color="auto" w:fill="FFFFFF"/>
        </w:rPr>
        <w:t>Locke</w:t>
      </w:r>
      <w:proofErr w:type="spellEnd"/>
      <w:r w:rsidRPr="004D635A">
        <w:rPr>
          <w:rFonts w:ascii="Bookman Old Style" w:hAnsi="Bookman Old Style"/>
          <w:color w:val="000000"/>
          <w:shd w:val="clear" w:color="auto" w:fill="FFFFFF"/>
        </w:rPr>
        <w:t xml:space="preserve"> uważał , iż tyle tylko wiemy , ile doświadczamy , on zaś ponadto głosił , iż to tylko istnieje , czego doświadczamy. Np.: Figury geometryczne rysowane na papierze , czy na tablicy nie są ilustracją , lecz właściwym przedmiotem wiedzy matematycznej , bo tylko one mogą być oglądane przez zmysły. Rozum nie ma z matematyką nic do czynienia , bo jego przedmiotem są wyłącznie sprawy duchowe , a trójkąty nie są duchami , ani czynnościami duchów. Całe życie walczył Berkeley z koncepcją wielkości nieskończenie małych ponieważ według niego nie ma wielkości mniejszych niż te , które są postrzegalne.</w:t>
      </w:r>
      <w:r w:rsidRPr="004D635A">
        <w:rPr>
          <w:rFonts w:ascii="Bookman Old Style" w:hAnsi="Bookman Old Style"/>
          <w:color w:val="000000"/>
        </w:rPr>
        <w:br/>
      </w:r>
      <w:r w:rsidRPr="004D635A">
        <w:rPr>
          <w:rFonts w:ascii="Bookman Old Style" w:hAnsi="Bookman Old Style"/>
          <w:color w:val="000000"/>
        </w:rPr>
        <w:br/>
      </w:r>
      <w:r w:rsidRPr="004D635A">
        <w:rPr>
          <w:rFonts w:ascii="Bookman Old Style" w:hAnsi="Bookman Old Style"/>
          <w:b/>
          <w:color w:val="000000"/>
          <w:shd w:val="clear" w:color="auto" w:fill="FFFFFF"/>
        </w:rPr>
        <w:t>SOLIPSYZM</w:t>
      </w:r>
      <w:r w:rsidRPr="004D635A">
        <w:rPr>
          <w:rFonts w:ascii="Bookman Old Style" w:hAnsi="Bookman Old Style"/>
          <w:color w:val="000000"/>
          <w:shd w:val="clear" w:color="auto" w:fill="FFFFFF"/>
        </w:rPr>
        <w:t xml:space="preserve"> - pogląd, zgodnie z którym rzeczywiste i bezsporne istnienie można przypisać jedynie podmiotowi (umysłowi) poznającemu (własnemu „ja”), a cała rzeczywistość jest tylko zespołem jego indywidualnych wrażeń. Solipsyzm jest konsekwencją skrajnego idealizmu subiektywnego.</w:t>
      </w:r>
      <w:r w:rsidRPr="004D635A">
        <w:rPr>
          <w:rFonts w:ascii="Bookman Old Style" w:hAnsi="Bookman Old Style"/>
          <w:color w:val="000000"/>
        </w:rPr>
        <w:br/>
      </w:r>
      <w:r w:rsidRPr="004D635A">
        <w:rPr>
          <w:rFonts w:ascii="Bookman Old Style" w:hAnsi="Bookman Old Style"/>
          <w:color w:val="000000"/>
        </w:rPr>
        <w:br/>
      </w:r>
      <w:r w:rsidRPr="004D635A">
        <w:rPr>
          <w:rFonts w:ascii="Bookman Old Style" w:hAnsi="Bookman Old Style"/>
          <w:color w:val="000000"/>
          <w:shd w:val="clear" w:color="auto" w:fill="FFFFFF"/>
        </w:rPr>
        <w:t xml:space="preserve">Berkeley mniemał , że pierwotne własności , które </w:t>
      </w:r>
      <w:proofErr w:type="spellStart"/>
      <w:r w:rsidRPr="004D635A">
        <w:rPr>
          <w:rFonts w:ascii="Bookman Old Style" w:hAnsi="Bookman Old Style"/>
          <w:color w:val="000000"/>
          <w:shd w:val="clear" w:color="auto" w:fill="FFFFFF"/>
        </w:rPr>
        <w:t>Locke</w:t>
      </w:r>
      <w:proofErr w:type="spellEnd"/>
      <w:r w:rsidRPr="004D635A">
        <w:rPr>
          <w:rFonts w:ascii="Bookman Old Style" w:hAnsi="Bookman Old Style"/>
          <w:color w:val="000000"/>
          <w:shd w:val="clear" w:color="auto" w:fill="FFFFFF"/>
        </w:rPr>
        <w:t xml:space="preserve"> uważał za obiektywne , są również subiektywne ; i one także istnieją w umysłach. Podobnie jak barwa istnieje tylko , gdy jest widziana tak też ruch czy kształt , czy wielkość istnieją tylko wtedy , gdy są postrzegane</w:t>
      </w:r>
      <w:r w:rsidRPr="004D635A">
        <w:rPr>
          <w:rFonts w:ascii="Bookman Old Style" w:hAnsi="Bookman Old Style"/>
          <w:b/>
          <w:color w:val="000000"/>
          <w:shd w:val="clear" w:color="auto" w:fill="FFFFFF"/>
        </w:rPr>
        <w:t>. Przemawiają za tym trzy argumenty :</w:t>
      </w:r>
      <w:r w:rsidRPr="004D635A">
        <w:rPr>
          <w:rFonts w:ascii="Bookman Old Style" w:hAnsi="Bookman Old Style"/>
          <w:color w:val="000000"/>
        </w:rPr>
        <w:br/>
      </w:r>
      <w:r w:rsidRPr="004D635A">
        <w:rPr>
          <w:rFonts w:ascii="Bookman Old Style" w:hAnsi="Bookman Old Style"/>
          <w:color w:val="000000"/>
          <w:shd w:val="clear" w:color="auto" w:fill="FFFFFF"/>
        </w:rPr>
        <w:t>1) Jakości pierwotne nie występują nigdy w oderwaniu , lecz zawsze w łączności z własnościami wtórnymi , np.: kształt w łączności z barwą ; jeśli więc te są subiektywne , to i tamte nimi być muszą.</w:t>
      </w:r>
      <w:r w:rsidRPr="004D635A">
        <w:rPr>
          <w:rFonts w:ascii="Bookman Old Style" w:hAnsi="Bookman Old Style"/>
          <w:color w:val="000000"/>
        </w:rPr>
        <w:br/>
      </w:r>
      <w:r w:rsidRPr="004D635A">
        <w:rPr>
          <w:rFonts w:ascii="Bookman Old Style" w:hAnsi="Bookman Old Style"/>
          <w:color w:val="000000"/>
          <w:shd w:val="clear" w:color="auto" w:fill="FFFFFF"/>
        </w:rPr>
        <w:t>2) Własności pierwotne są względne , np.: wielkość rzeczy i szybkość ruchu zmieniają się w zależności od naszej wobec nich pozycji , są więc związane z umysłem , czyli nieobiektywne.</w:t>
      </w:r>
      <w:r w:rsidRPr="004D635A">
        <w:rPr>
          <w:rFonts w:ascii="Bookman Old Style" w:hAnsi="Bookman Old Style"/>
          <w:color w:val="000000"/>
        </w:rPr>
        <w:br/>
      </w:r>
      <w:r w:rsidRPr="004D635A">
        <w:rPr>
          <w:rFonts w:ascii="Bookman Old Style" w:hAnsi="Bookman Old Style"/>
          <w:color w:val="000000"/>
          <w:shd w:val="clear" w:color="auto" w:fill="FFFFFF"/>
        </w:rPr>
        <w:t>3) Własności pierwotne nie są zawarte w doświadczeniu zmysłowym.</w:t>
      </w:r>
      <w:r w:rsidRPr="004D635A">
        <w:rPr>
          <w:rFonts w:ascii="Bookman Old Style" w:hAnsi="Bookman Old Style"/>
          <w:color w:val="000000"/>
        </w:rPr>
        <w:br/>
      </w:r>
      <w:r w:rsidRPr="004D635A">
        <w:rPr>
          <w:rFonts w:ascii="Bookman Old Style" w:hAnsi="Bookman Old Style"/>
          <w:color w:val="000000"/>
        </w:rPr>
        <w:br/>
      </w:r>
      <w:r w:rsidRPr="004D635A">
        <w:rPr>
          <w:rFonts w:ascii="Bookman Old Style" w:hAnsi="Bookman Old Style"/>
          <w:b/>
          <w:color w:val="000000"/>
          <w:shd w:val="clear" w:color="auto" w:fill="FFFFFF"/>
        </w:rPr>
        <w:t>POZNANIE</w:t>
      </w:r>
      <w:r w:rsidRPr="004D635A">
        <w:rPr>
          <w:rFonts w:ascii="Bookman Old Style" w:hAnsi="Bookman Old Style"/>
          <w:color w:val="000000"/>
          <w:shd w:val="clear" w:color="auto" w:fill="FFFFFF"/>
        </w:rPr>
        <w:t xml:space="preserve"> (immaterializm)Według </w:t>
      </w:r>
      <w:proofErr w:type="spellStart"/>
      <w:r w:rsidRPr="004D635A">
        <w:rPr>
          <w:rFonts w:ascii="Bookman Old Style" w:hAnsi="Bookman Old Style"/>
          <w:color w:val="000000"/>
          <w:shd w:val="clear" w:color="auto" w:fill="FFFFFF"/>
        </w:rPr>
        <w:t>Locke’a</w:t>
      </w:r>
      <w:proofErr w:type="spellEnd"/>
      <w:r w:rsidRPr="004D635A">
        <w:rPr>
          <w:rFonts w:ascii="Bookman Old Style" w:hAnsi="Bookman Old Style"/>
          <w:color w:val="000000"/>
          <w:shd w:val="clear" w:color="auto" w:fill="FFFFFF"/>
        </w:rPr>
        <w:t xml:space="preserve"> substancja nie jest przedmiotem doświadczenia, czyli jest niepoznawalna. Berkeley poszedł dalej stwierdzając , że jeśli substancji nie doświadczamy – to ich nie ma. Są one fikcjami umysłu. To , co nazywamy ciałami , są to tylko zespoły jakości zmysłowych i nic więcej. Bo jeśli by z ciała usunąć jakości , to nie pozostało by nic. Więc :</w:t>
      </w:r>
      <w:r w:rsidRPr="004D635A">
        <w:rPr>
          <w:rFonts w:ascii="Bookman Old Style" w:hAnsi="Bookman Old Style"/>
          <w:color w:val="000000"/>
        </w:rPr>
        <w:br/>
      </w:r>
      <w:r w:rsidRPr="004D635A">
        <w:rPr>
          <w:rFonts w:ascii="Bookman Old Style" w:hAnsi="Bookman Old Style"/>
          <w:color w:val="000000"/>
          <w:shd w:val="clear" w:color="auto" w:fill="FFFFFF"/>
        </w:rPr>
        <w:t>1) Świat zewnętrzny składa się tylko z jakości postrzeganych.</w:t>
      </w:r>
      <w:r w:rsidRPr="004D635A">
        <w:rPr>
          <w:rFonts w:ascii="Bookman Old Style" w:hAnsi="Bookman Old Style"/>
          <w:color w:val="000000"/>
        </w:rPr>
        <w:br/>
      </w:r>
      <w:r w:rsidRPr="004D635A">
        <w:rPr>
          <w:rFonts w:ascii="Bookman Old Style" w:hAnsi="Bookman Old Style"/>
          <w:color w:val="000000"/>
          <w:shd w:val="clear" w:color="auto" w:fill="FFFFFF"/>
        </w:rPr>
        <w:t>2) Wszystkie własności (pierwotne oraz wtórne) są subiektywne. Świat składa się tylko z postrzeżeń : poza nimi nic nie ma.</w:t>
      </w:r>
      <w:r w:rsidRPr="004D635A">
        <w:rPr>
          <w:rFonts w:ascii="Bookman Old Style" w:hAnsi="Bookman Old Style"/>
          <w:color w:val="000000"/>
        </w:rPr>
        <w:br/>
      </w:r>
      <w:r w:rsidRPr="004D635A">
        <w:rPr>
          <w:rFonts w:ascii="Bookman Old Style" w:hAnsi="Bookman Old Style"/>
          <w:color w:val="000000"/>
          <w:shd w:val="clear" w:color="auto" w:fill="FFFFFF"/>
        </w:rPr>
        <w:t>Dla przedmiotów świata zewnętrznego „istnieć” znaczy : być postrzeganym. Rzeczy , które były różne od postrzeżeń , są tylko fikcjami umysłu. Jeśli materia ma być substancją istniejącą niezależnie od postrzeżeń , to nie ma materii. Jeśli ciała mają być częściami tak pojętej materii , to nie ma ciał.</w:t>
      </w:r>
      <w:r w:rsidRPr="004D635A">
        <w:rPr>
          <w:rFonts w:ascii="Bookman Old Style" w:hAnsi="Bookman Old Style"/>
          <w:color w:val="000000"/>
        </w:rPr>
        <w:br/>
      </w:r>
    </w:p>
    <w:p w:rsidR="004D635A" w:rsidRDefault="004D635A" w:rsidP="004D635A">
      <w:pPr>
        <w:rPr>
          <w:rFonts w:ascii="Bookman Old Style" w:hAnsi="Bookman Old Style"/>
          <w:color w:val="000000"/>
        </w:rPr>
      </w:pPr>
    </w:p>
    <w:p w:rsidR="004D635A" w:rsidRDefault="004D635A" w:rsidP="004D635A">
      <w:pPr>
        <w:rPr>
          <w:rFonts w:ascii="Bookman Old Style" w:hAnsi="Bookman Old Style"/>
          <w:color w:val="000000"/>
        </w:rPr>
      </w:pPr>
    </w:p>
    <w:p w:rsidR="004D635A" w:rsidRDefault="004D635A" w:rsidP="004D635A">
      <w:pPr>
        <w:rPr>
          <w:rFonts w:ascii="Bookman Old Style" w:hAnsi="Bookman Old Style"/>
          <w:color w:val="000000"/>
          <w:shd w:val="clear" w:color="auto" w:fill="FFFFFF"/>
        </w:rPr>
      </w:pPr>
      <w:r w:rsidRPr="004D635A">
        <w:rPr>
          <w:rFonts w:ascii="Bookman Old Style" w:hAnsi="Bookman Old Style"/>
          <w:color w:val="000000"/>
        </w:rPr>
        <w:lastRenderedPageBreak/>
        <w:br/>
      </w:r>
      <w:r w:rsidRPr="004D635A">
        <w:rPr>
          <w:rFonts w:ascii="Bookman Old Style" w:hAnsi="Bookman Old Style"/>
          <w:b/>
          <w:color w:val="000000"/>
          <w:shd w:val="clear" w:color="auto" w:fill="FFFFFF"/>
        </w:rPr>
        <w:t>Immaterializm</w:t>
      </w:r>
      <w:r w:rsidRPr="004D635A">
        <w:rPr>
          <w:rFonts w:ascii="Bookman Old Style" w:hAnsi="Bookman Old Style"/>
          <w:color w:val="000000"/>
          <w:shd w:val="clear" w:color="auto" w:fill="FFFFFF"/>
        </w:rPr>
        <w:t xml:space="preserve"> to zaprzeczenie istnienia materii czy substancji, która nie stanowiąc bezpośredniej treści doświadczenia gwarantowałaby postrzeganym przedmiotom egzystencjalną niezależność - rzeczy były dla </w:t>
      </w:r>
      <w:proofErr w:type="spellStart"/>
      <w:r w:rsidRPr="004D635A">
        <w:rPr>
          <w:rFonts w:ascii="Bookman Old Style" w:hAnsi="Bookman Old Style"/>
          <w:color w:val="000000"/>
          <w:shd w:val="clear" w:color="auto" w:fill="FFFFFF"/>
        </w:rPr>
        <w:t>Berkeley’a</w:t>
      </w:r>
      <w:proofErr w:type="spellEnd"/>
      <w:r w:rsidRPr="004D635A">
        <w:rPr>
          <w:rFonts w:ascii="Bookman Old Style" w:hAnsi="Bookman Old Style"/>
          <w:color w:val="000000"/>
          <w:shd w:val="clear" w:color="auto" w:fill="FFFFFF"/>
        </w:rPr>
        <w:t xml:space="preserve"> wyłącznie postrzeżeniami czy jak sam mówił ideami, trwałość zaś i jedność zapewniało im i całej reszcie świata ciągłe postrzeganie wszystkiego przez Boga.</w:t>
      </w:r>
      <w:r w:rsidRPr="004D635A">
        <w:rPr>
          <w:rStyle w:val="apple-converted-space"/>
          <w:rFonts w:ascii="Bookman Old Style" w:hAnsi="Bookman Old Style"/>
          <w:color w:val="000000"/>
          <w:shd w:val="clear" w:color="auto" w:fill="FFFFFF"/>
        </w:rPr>
        <w:t> </w:t>
      </w:r>
      <w:r w:rsidRPr="004D635A">
        <w:rPr>
          <w:rFonts w:ascii="Bookman Old Style" w:hAnsi="Bookman Old Style"/>
          <w:color w:val="000000"/>
        </w:rPr>
        <w:br/>
      </w:r>
      <w:r w:rsidRPr="004D635A">
        <w:rPr>
          <w:rFonts w:ascii="Bookman Old Style" w:hAnsi="Bookman Old Style"/>
          <w:color w:val="000000"/>
          <w:shd w:val="clear" w:color="auto" w:fill="FFFFFF"/>
        </w:rPr>
        <w:t xml:space="preserve">Ważną składową filozofii </w:t>
      </w:r>
      <w:proofErr w:type="spellStart"/>
      <w:r w:rsidRPr="004D635A">
        <w:rPr>
          <w:rFonts w:ascii="Bookman Old Style" w:hAnsi="Bookman Old Style"/>
          <w:color w:val="000000"/>
          <w:shd w:val="clear" w:color="auto" w:fill="FFFFFF"/>
        </w:rPr>
        <w:t>Berkeley’a</w:t>
      </w:r>
      <w:proofErr w:type="spellEnd"/>
      <w:r w:rsidRPr="004D635A">
        <w:rPr>
          <w:rFonts w:ascii="Bookman Old Style" w:hAnsi="Bookman Old Style"/>
          <w:color w:val="000000"/>
          <w:shd w:val="clear" w:color="auto" w:fill="FFFFFF"/>
        </w:rPr>
        <w:t xml:space="preserve"> był spirytualizm. Przyjmował on istnienie czynnych duchów-umysłów, które są nosicielami idei - przyznawał im walor prawdziwych niematerialnych substancji, poznawalnych nie poprzez idee, a przez pojęcia, umożliwiające ich rozumienie. W późniejszym okresie Berkeley zmodyfikował swoje poglądy pod wpływem filozofii Platona. Poza filozofią zajmował się m.in. optyką.</w:t>
      </w:r>
    </w:p>
    <w:p w:rsidR="00FD5FFC" w:rsidRPr="00FD5FFC" w:rsidRDefault="00FD5FFC" w:rsidP="004D635A">
      <w:pPr>
        <w:rPr>
          <w:rFonts w:ascii="Bookman Old Style" w:hAnsi="Bookman Old Style"/>
          <w:color w:val="000000"/>
          <w:shd w:val="clear" w:color="auto" w:fill="FFFFFF"/>
        </w:rPr>
      </w:pPr>
    </w:p>
    <w:p w:rsidR="00FD5FFC" w:rsidRPr="009918D6" w:rsidRDefault="00FD5FFC" w:rsidP="004D635A">
      <w:pPr>
        <w:rPr>
          <w:rFonts w:ascii="Bookman Old Style" w:hAnsi="Bookman Old Style"/>
          <w:b/>
          <w:color w:val="000000"/>
          <w:shd w:val="clear" w:color="auto" w:fill="FFFFFF"/>
        </w:rPr>
      </w:pPr>
      <w:r w:rsidRPr="009918D6">
        <w:rPr>
          <w:rFonts w:ascii="Bookman Old Style" w:hAnsi="Bookman Old Style"/>
          <w:b/>
          <w:color w:val="000000"/>
          <w:shd w:val="clear" w:color="auto" w:fill="FFFFFF"/>
        </w:rPr>
        <w:t>KANT</w:t>
      </w:r>
    </w:p>
    <w:p w:rsidR="00FD5FFC" w:rsidRPr="00FD5FFC" w:rsidRDefault="00FD5FFC" w:rsidP="004D635A">
      <w:pPr>
        <w:rPr>
          <w:rFonts w:ascii="Bookman Old Style" w:hAnsi="Bookman Old Style"/>
          <w:b/>
          <w:color w:val="000000"/>
          <w:shd w:val="clear" w:color="auto" w:fill="FFFFFF"/>
        </w:rPr>
      </w:pPr>
      <w:r w:rsidRPr="00FD5FFC">
        <w:rPr>
          <w:rFonts w:ascii="Bookman Old Style" w:hAnsi="Bookman Old Style"/>
          <w:b/>
          <w:color w:val="000000"/>
          <w:shd w:val="clear" w:color="auto" w:fill="FFFFFF"/>
        </w:rPr>
        <w:t>SĄDY</w:t>
      </w:r>
    </w:p>
    <w:p w:rsidR="00FD5FFC" w:rsidRPr="00FD5FFC" w:rsidRDefault="00FD5FFC" w:rsidP="00FD5FFC">
      <w:pPr>
        <w:shd w:val="clear" w:color="auto" w:fill="FFFFFF"/>
        <w:spacing w:before="120" w:after="120" w:line="240" w:lineRule="auto"/>
        <w:rPr>
          <w:rFonts w:ascii="Bookman Old Style" w:eastAsia="Times New Roman" w:hAnsi="Bookman Old Style" w:cs="Arial"/>
          <w:color w:val="252525"/>
          <w:lang w:eastAsia="pl-PL"/>
        </w:rPr>
      </w:pPr>
      <w:r w:rsidRPr="00FD5FFC">
        <w:rPr>
          <w:rFonts w:ascii="Bookman Old Style" w:eastAsia="Times New Roman" w:hAnsi="Bookman Old Style" w:cs="Arial"/>
          <w:color w:val="252525"/>
          <w:lang w:eastAsia="pl-PL"/>
        </w:rPr>
        <w:t>Kant zaczął od poszerzenia </w:t>
      </w:r>
      <w:hyperlink r:id="rId5" w:tooltip="Arystoteles" w:history="1">
        <w:r w:rsidRPr="00FD5FFC">
          <w:rPr>
            <w:rFonts w:ascii="Bookman Old Style" w:eastAsia="Times New Roman" w:hAnsi="Bookman Old Style" w:cs="Arial"/>
            <w:color w:val="0B0080"/>
            <w:lang w:eastAsia="pl-PL"/>
          </w:rPr>
          <w:t>arystotelesowskiej</w:t>
        </w:r>
      </w:hyperlink>
      <w:r w:rsidRPr="00FD5FFC">
        <w:rPr>
          <w:rFonts w:ascii="Bookman Old Style" w:eastAsia="Times New Roman" w:hAnsi="Bookman Old Style" w:cs="Arial"/>
          <w:color w:val="252525"/>
          <w:lang w:eastAsia="pl-PL"/>
        </w:rPr>
        <w:t> teorii </w:t>
      </w:r>
      <w:hyperlink r:id="rId6" w:tooltip="Logika" w:history="1">
        <w:r w:rsidRPr="00FD5FFC">
          <w:rPr>
            <w:rFonts w:ascii="Bookman Old Style" w:eastAsia="Times New Roman" w:hAnsi="Bookman Old Style" w:cs="Arial"/>
            <w:color w:val="0B0080"/>
            <w:lang w:eastAsia="pl-PL"/>
          </w:rPr>
          <w:t>logiki</w:t>
        </w:r>
      </w:hyperlink>
      <w:r w:rsidRPr="00FD5FFC">
        <w:rPr>
          <w:rFonts w:ascii="Bookman Old Style" w:eastAsia="Times New Roman" w:hAnsi="Bookman Old Style" w:cs="Arial"/>
          <w:color w:val="252525"/>
          <w:lang w:eastAsia="pl-PL"/>
        </w:rPr>
        <w:t> o nowy podział sądów na:</w:t>
      </w:r>
    </w:p>
    <w:p w:rsidR="00FD5FFC" w:rsidRPr="00FD5FFC" w:rsidRDefault="00FD5FFC" w:rsidP="00FD5FFC">
      <w:pPr>
        <w:numPr>
          <w:ilvl w:val="0"/>
          <w:numId w:val="4"/>
        </w:numPr>
        <w:shd w:val="clear" w:color="auto" w:fill="FFFFFF"/>
        <w:spacing w:before="100" w:beforeAutospacing="1" w:after="24" w:line="240" w:lineRule="auto"/>
        <w:ind w:left="384"/>
        <w:rPr>
          <w:rFonts w:ascii="Bookman Old Style" w:eastAsia="Times New Roman" w:hAnsi="Bookman Old Style" w:cs="Arial"/>
          <w:color w:val="252525"/>
          <w:lang w:eastAsia="pl-PL"/>
        </w:rPr>
      </w:pPr>
      <w:r w:rsidRPr="00FD5FFC">
        <w:rPr>
          <w:rFonts w:ascii="Bookman Old Style" w:eastAsia="Times New Roman" w:hAnsi="Bookman Old Style" w:cs="Arial"/>
          <w:iCs/>
          <w:color w:val="252525"/>
          <w:lang w:eastAsia="pl-PL"/>
        </w:rPr>
        <w:t>sądy analityczne</w:t>
      </w:r>
      <w:r w:rsidRPr="00FD5FFC">
        <w:rPr>
          <w:rFonts w:ascii="Bookman Old Style" w:eastAsia="Times New Roman" w:hAnsi="Bookman Old Style" w:cs="Arial"/>
          <w:color w:val="252525"/>
          <w:lang w:eastAsia="pl-PL"/>
        </w:rPr>
        <w:t>, czyli takie, które w orzeczeniu wypowiadają jedynie to, co jest zawarte w podmiocie – mają charakter definicji i służą objaśnieniu posiadanej już wiedzy;</w:t>
      </w:r>
    </w:p>
    <w:p w:rsidR="00FD5FFC" w:rsidRPr="00FD5FFC" w:rsidRDefault="00FD5FFC" w:rsidP="00FD5FFC">
      <w:pPr>
        <w:numPr>
          <w:ilvl w:val="0"/>
          <w:numId w:val="4"/>
        </w:numPr>
        <w:shd w:val="clear" w:color="auto" w:fill="FFFFFF"/>
        <w:spacing w:before="100" w:beforeAutospacing="1" w:after="24" w:line="240" w:lineRule="auto"/>
        <w:ind w:left="384"/>
        <w:rPr>
          <w:rFonts w:ascii="Bookman Old Style" w:eastAsia="Times New Roman" w:hAnsi="Bookman Old Style" w:cs="Arial"/>
          <w:color w:val="252525"/>
          <w:lang w:eastAsia="pl-PL"/>
        </w:rPr>
      </w:pPr>
      <w:r w:rsidRPr="00FD5FFC">
        <w:rPr>
          <w:rFonts w:ascii="Bookman Old Style" w:eastAsia="Times New Roman" w:hAnsi="Bookman Old Style" w:cs="Arial"/>
          <w:iCs/>
          <w:color w:val="252525"/>
          <w:lang w:eastAsia="pl-PL"/>
        </w:rPr>
        <w:t>sądy syntetyczne</w:t>
      </w:r>
      <w:r w:rsidRPr="00FD5FFC">
        <w:rPr>
          <w:rFonts w:ascii="Bookman Old Style" w:eastAsia="Times New Roman" w:hAnsi="Bookman Old Style" w:cs="Arial"/>
          <w:color w:val="252525"/>
          <w:lang w:eastAsia="pl-PL"/>
        </w:rPr>
        <w:t>, czyli takie, których orzeczenie wykracza poza podmiot – które rozszerzają naszą wiedzę;</w:t>
      </w:r>
    </w:p>
    <w:p w:rsidR="00FD5FFC" w:rsidRPr="00FD5FFC" w:rsidRDefault="00FD5FFC" w:rsidP="00FD5FFC">
      <w:pPr>
        <w:shd w:val="clear" w:color="auto" w:fill="FFFFFF"/>
        <w:spacing w:before="120" w:after="120" w:line="240" w:lineRule="auto"/>
        <w:rPr>
          <w:rFonts w:ascii="Bookman Old Style" w:eastAsia="Times New Roman" w:hAnsi="Bookman Old Style" w:cs="Arial"/>
          <w:color w:val="252525"/>
          <w:lang w:eastAsia="pl-PL"/>
        </w:rPr>
      </w:pPr>
      <w:r w:rsidRPr="00FD5FFC">
        <w:rPr>
          <w:rFonts w:ascii="Bookman Old Style" w:eastAsia="Times New Roman" w:hAnsi="Bookman Old Style" w:cs="Arial"/>
          <w:color w:val="252525"/>
          <w:lang w:eastAsia="pl-PL"/>
        </w:rPr>
        <w:t>oraz:</w:t>
      </w:r>
    </w:p>
    <w:p w:rsidR="00FD5FFC" w:rsidRPr="00FD5FFC" w:rsidRDefault="00FD5FFC" w:rsidP="00FD5FFC">
      <w:pPr>
        <w:numPr>
          <w:ilvl w:val="0"/>
          <w:numId w:val="5"/>
        </w:numPr>
        <w:shd w:val="clear" w:color="auto" w:fill="FFFFFF"/>
        <w:spacing w:before="100" w:beforeAutospacing="1" w:after="24" w:line="240" w:lineRule="auto"/>
        <w:ind w:left="384"/>
        <w:rPr>
          <w:rFonts w:ascii="Bookman Old Style" w:eastAsia="Times New Roman" w:hAnsi="Bookman Old Style" w:cs="Arial"/>
          <w:color w:val="252525"/>
          <w:lang w:eastAsia="pl-PL"/>
        </w:rPr>
      </w:pPr>
      <w:r w:rsidRPr="00FD5FFC">
        <w:rPr>
          <w:rFonts w:ascii="Bookman Old Style" w:eastAsia="Times New Roman" w:hAnsi="Bookman Old Style" w:cs="Arial"/>
          <w:iCs/>
          <w:color w:val="252525"/>
          <w:lang w:eastAsia="pl-PL"/>
        </w:rPr>
        <w:t>sądy a priori</w:t>
      </w:r>
      <w:r w:rsidRPr="00FD5FFC">
        <w:rPr>
          <w:rFonts w:ascii="Bookman Old Style" w:eastAsia="Times New Roman" w:hAnsi="Bookman Old Style" w:cs="Arial"/>
          <w:color w:val="252525"/>
          <w:lang w:eastAsia="pl-PL"/>
        </w:rPr>
        <w:t>, czyli takie, które są niezależne od doświadczenia – mają swe źródło w umyśle;</w:t>
      </w:r>
    </w:p>
    <w:p w:rsidR="00FD5FFC" w:rsidRPr="00FD5FFC" w:rsidRDefault="00FD5FFC" w:rsidP="00FD5FFC">
      <w:pPr>
        <w:numPr>
          <w:ilvl w:val="0"/>
          <w:numId w:val="5"/>
        </w:numPr>
        <w:shd w:val="clear" w:color="auto" w:fill="FFFFFF"/>
        <w:spacing w:before="100" w:beforeAutospacing="1" w:after="24" w:line="240" w:lineRule="auto"/>
        <w:ind w:left="384"/>
        <w:rPr>
          <w:rFonts w:ascii="Bookman Old Style" w:eastAsia="Times New Roman" w:hAnsi="Bookman Old Style" w:cs="Arial"/>
          <w:color w:val="252525"/>
          <w:lang w:eastAsia="pl-PL"/>
        </w:rPr>
      </w:pPr>
      <w:r w:rsidRPr="00FD5FFC">
        <w:rPr>
          <w:rFonts w:ascii="Bookman Old Style" w:eastAsia="Times New Roman" w:hAnsi="Bookman Old Style" w:cs="Arial"/>
          <w:iCs/>
          <w:color w:val="252525"/>
          <w:lang w:eastAsia="pl-PL"/>
        </w:rPr>
        <w:t>sądy a posteriori</w:t>
      </w:r>
      <w:r w:rsidRPr="00FD5FFC">
        <w:rPr>
          <w:rFonts w:ascii="Bookman Old Style" w:eastAsia="Times New Roman" w:hAnsi="Bookman Old Style" w:cs="Arial"/>
          <w:color w:val="252525"/>
          <w:lang w:eastAsia="pl-PL"/>
        </w:rPr>
        <w:t>, czyli takie, które można wywieść z doświadczenia.</w:t>
      </w:r>
    </w:p>
    <w:p w:rsidR="00FD5FFC" w:rsidRPr="00FD5FFC" w:rsidRDefault="00FD5FFC" w:rsidP="004D635A">
      <w:pPr>
        <w:rPr>
          <w:rFonts w:ascii="Bookman Old Style" w:hAnsi="Bookman Old Style"/>
        </w:rPr>
      </w:pPr>
    </w:p>
    <w:p w:rsidR="00FD5FFC" w:rsidRPr="00FD5FFC" w:rsidRDefault="00FD5FFC" w:rsidP="004D635A">
      <w:pPr>
        <w:rPr>
          <w:rFonts w:ascii="Bookman Old Style" w:hAnsi="Bookman Old Style"/>
        </w:rPr>
      </w:pPr>
      <w:r w:rsidRPr="00FD5FFC">
        <w:rPr>
          <w:rFonts w:ascii="Bookman Old Style" w:hAnsi="Bookman Old Style"/>
          <w:b/>
          <w:bCs/>
          <w:color w:val="003366"/>
        </w:rPr>
        <w:t>FILOZOFIA TRANSCENDENTALNA</w:t>
      </w:r>
      <w:r w:rsidRPr="00FD5FFC">
        <w:rPr>
          <w:rFonts w:ascii="Bookman Old Style" w:hAnsi="Bookman Old Style"/>
          <w:color w:val="000000"/>
        </w:rPr>
        <w:br/>
        <w:t>Kant zdobył dla dyskursu filozoficznego nową perspektywę. W "Krytyce czystego rozumu" napisał: "Transcendentalnym nazywam wszelkie poznanie, które zajmuje się w ogóle nie tyle przedmiotami, ile naszym sposobem poznawania przedmiotów". Pojęcie transcendentalizmu mieści jednak w sobie dużo więcej. Rozważanie problemów w taki sposób, w jaki dostępne są one człowiekowi, czy też ze względu na człowieka - otwiera pole dla ustaleń bezwzględnie intersubiektywnych. Opisanie poznającego podmiotu w sposób obowiązujący "każdego człowieka" zbliżył filozofię do skonstruowania podmiotu ponadindywidualnego.</w:t>
      </w:r>
      <w:r w:rsidRPr="00FD5FFC">
        <w:rPr>
          <w:rFonts w:ascii="Bookman Old Style" w:hAnsi="Bookman Old Style"/>
          <w:color w:val="000000"/>
        </w:rPr>
        <w:br/>
      </w:r>
      <w:bookmarkStart w:id="0" w:name="_GoBack"/>
      <w:bookmarkEnd w:id="0"/>
    </w:p>
    <w:sectPr w:rsidR="00FD5FFC" w:rsidRPr="00FD5F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77500E"/>
    <w:multiLevelType w:val="multilevel"/>
    <w:tmpl w:val="D19CC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0A8540B"/>
    <w:multiLevelType w:val="multilevel"/>
    <w:tmpl w:val="C722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1DF4E35"/>
    <w:multiLevelType w:val="multilevel"/>
    <w:tmpl w:val="FC3E7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02874DC"/>
    <w:multiLevelType w:val="multilevel"/>
    <w:tmpl w:val="E74E1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8146699"/>
    <w:multiLevelType w:val="multilevel"/>
    <w:tmpl w:val="B07C2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35A"/>
    <w:rsid w:val="00466B9D"/>
    <w:rsid w:val="004D635A"/>
    <w:rsid w:val="009918D6"/>
    <w:rsid w:val="00EF79BE"/>
    <w:rsid w:val="00FD5F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017DE4-0607-4F99-B381-7CF4B9C2B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pple-converted-space">
    <w:name w:val="apple-converted-space"/>
    <w:basedOn w:val="Domylnaczcionkaakapitu"/>
    <w:rsid w:val="004D635A"/>
  </w:style>
  <w:style w:type="paragraph" w:styleId="Akapitzlist">
    <w:name w:val="List Paragraph"/>
    <w:basedOn w:val="Normalny"/>
    <w:uiPriority w:val="34"/>
    <w:qFormat/>
    <w:rsid w:val="004D635A"/>
    <w:pPr>
      <w:ind w:left="720"/>
      <w:contextualSpacing/>
    </w:pPr>
  </w:style>
  <w:style w:type="paragraph" w:styleId="NormalnyWeb">
    <w:name w:val="Normal (Web)"/>
    <w:basedOn w:val="Normalny"/>
    <w:uiPriority w:val="99"/>
    <w:semiHidden/>
    <w:unhideWhenUsed/>
    <w:rsid w:val="00FD5FF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FD5F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91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l.wikipedia.org/wiki/Logika" TargetMode="External"/><Relationship Id="rId5" Type="http://schemas.openxmlformats.org/officeDocument/2006/relationships/hyperlink" Target="https://pl.wikipedia.org/wiki/Arystoteles"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1562</Words>
  <Characters>9377</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Doktorkto</dc:creator>
  <cp:keywords/>
  <dc:description/>
  <cp:lastModifiedBy>Doktorkto</cp:lastModifiedBy>
  <cp:revision>1</cp:revision>
  <dcterms:created xsi:type="dcterms:W3CDTF">2017-01-20T13:27:00Z</dcterms:created>
  <dcterms:modified xsi:type="dcterms:W3CDTF">2017-01-20T14:12:00Z</dcterms:modified>
</cp:coreProperties>
</file>