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9E1" w:rsidRPr="002926E6" w:rsidRDefault="003C1A94" w:rsidP="006B49E1">
      <w:pPr>
        <w:rPr>
          <w:rFonts w:ascii="Bookman Old Style" w:hAnsi="Bookman Old Style"/>
          <w:b/>
          <w:color w:val="404040" w:themeColor="text1" w:themeTint="BF"/>
        </w:rPr>
      </w:pPr>
      <w:r w:rsidRPr="002926E6">
        <w:rPr>
          <w:rFonts w:ascii="Bookman Old Style" w:hAnsi="Bookman Old Style"/>
          <w:b/>
          <w:color w:val="404040" w:themeColor="text1" w:themeTint="BF"/>
        </w:rPr>
        <w:t xml:space="preserve">KARTEZJUSZ </w:t>
      </w:r>
    </w:p>
    <w:p w:rsidR="003C1A94" w:rsidRPr="002926E6" w:rsidRDefault="003C1A94" w:rsidP="006B49E1">
      <w:pPr>
        <w:rPr>
          <w:rFonts w:ascii="Bookman Old Style" w:hAnsi="Bookman Old Style"/>
          <w:b/>
          <w:color w:val="404040" w:themeColor="text1" w:themeTint="BF"/>
        </w:rPr>
      </w:pPr>
      <w:r w:rsidRPr="002926E6">
        <w:rPr>
          <w:rFonts w:ascii="Bookman Old Style" w:hAnsi="Bookman Old Style"/>
          <w:b/>
          <w:bCs/>
          <w:color w:val="404040" w:themeColor="text1" w:themeTint="BF"/>
        </w:rPr>
        <w:t>METAFIZYKA</w:t>
      </w:r>
      <w:r w:rsidRPr="002926E6">
        <w:rPr>
          <w:rFonts w:ascii="Bookman Old Style" w:hAnsi="Bookman Old Style"/>
          <w:b/>
          <w:bCs/>
          <w:color w:val="404040" w:themeColor="text1" w:themeTint="BF"/>
        </w:rPr>
        <w:br/>
        <w:t>Metoda</w:t>
      </w:r>
      <w:r w:rsidRPr="002926E6">
        <w:rPr>
          <w:rFonts w:ascii="Bookman Old Style" w:hAnsi="Bookman Old Style"/>
          <w:color w:val="404040" w:themeColor="text1" w:themeTint="BF"/>
        </w:rPr>
        <w:br/>
        <w:t>Zdaniem Kartezjusza przyczyna niezadowalającego stanu nauki tkwiła w braku odpowiedniej metody. Dopiero gdy znaleziona zostanie odpowiednia metoda, badania naukowe będą mogły być prowadzone pomyślnie. Głównym więc zadaniem jego filozofii stała się właśnie metoda i to taka, która zapewni niezawodność, a nie tylko ułatwi zdobywanie wiedzy. Niezawodnymi miarami wiedzy były zaś dla Kartezjusza "jasność" i "wyraźność". To bowiem co jasne i wyraźne to pewne. Jasne i wyraźne zaś jest to co proste, w przeciwieństwie do złożonych myśli, które uważał za ulegające częstym błędom, a przez to ciemne i bezużyteczne. Takie zadanie spełnić może niewątpliwie metoda analityczna stosowana w arytmetyce. W związku z czym zbudował Kartezjusz geometrię analityczną, spodziewając się, ze będą mogły z niej korzystać również i inne nauki. Pracował więc nad stworzeniem powszechnej nauki. Zarazem racjonalnej, analitycznej, matematycznej - ujmującej w swoim systemie całokształt wiedzy. </w:t>
      </w:r>
      <w:r w:rsidRPr="002926E6">
        <w:rPr>
          <w:rFonts w:ascii="Bookman Old Style" w:hAnsi="Bookman Old Style"/>
          <w:color w:val="404040" w:themeColor="text1" w:themeTint="BF"/>
        </w:rPr>
        <w:br/>
      </w:r>
      <w:r w:rsidRPr="002926E6">
        <w:rPr>
          <w:rFonts w:ascii="Bookman Old Style" w:hAnsi="Bookman Old Style"/>
          <w:color w:val="404040" w:themeColor="text1" w:themeTint="BF"/>
        </w:rPr>
        <w:br/>
      </w:r>
      <w:r w:rsidRPr="002926E6">
        <w:rPr>
          <w:rFonts w:ascii="Bookman Old Style" w:hAnsi="Bookman Old Style"/>
          <w:b/>
          <w:bCs/>
          <w:color w:val="404040" w:themeColor="text1" w:themeTint="BF"/>
        </w:rPr>
        <w:t>- Sceptycyzm Metodologiczny</w:t>
      </w:r>
      <w:r w:rsidRPr="002926E6">
        <w:rPr>
          <w:rFonts w:ascii="Bookman Old Style" w:hAnsi="Bookman Old Style"/>
          <w:color w:val="404040" w:themeColor="text1" w:themeTint="BF"/>
        </w:rPr>
        <w:br/>
        <w:t xml:space="preserve">Kartezjusz szukał twierdzenia, które oprze się wszelkim wątpliwościom. Jego metoda polegała na próbowania wszelkich </w:t>
      </w:r>
      <w:proofErr w:type="spellStart"/>
      <w:r w:rsidRPr="002926E6">
        <w:rPr>
          <w:rFonts w:ascii="Bookman Old Style" w:hAnsi="Bookman Old Style"/>
          <w:color w:val="404040" w:themeColor="text1" w:themeTint="BF"/>
        </w:rPr>
        <w:t>sceptyckich</w:t>
      </w:r>
      <w:proofErr w:type="spellEnd"/>
      <w:r w:rsidRPr="002926E6">
        <w:rPr>
          <w:rFonts w:ascii="Bookman Old Style" w:hAnsi="Bookman Old Style"/>
          <w:color w:val="404040" w:themeColor="text1" w:themeTint="BF"/>
        </w:rPr>
        <w:t xml:space="preserve"> argumentów. Swój "sceptycyzm metodyczny" stosował Kartezjusz wobec twierdzeń o istnieniu. Argumenty sprowadzały się do trzech zwątpień: - złudzenie zmysłów, - brak wyraźnej granicy między jawą a snem, - możliwość, że jakaś potężniejsza od nas istota wprowadza nas w błąd. O ile dwa pierwsze argumenty wystarczały aby zakwestionować naszą wiedzę o rzeczach zewnętrznych, o tyle trzeci czynił nawet prawdy matematyczne wątpliwymi. </w:t>
      </w:r>
      <w:r w:rsidRPr="002926E6">
        <w:rPr>
          <w:rFonts w:ascii="Bookman Old Style" w:hAnsi="Bookman Old Style"/>
          <w:color w:val="404040" w:themeColor="text1" w:themeTint="BF"/>
        </w:rPr>
        <w:br/>
      </w:r>
      <w:r w:rsidRPr="002926E6">
        <w:rPr>
          <w:rFonts w:ascii="Bookman Old Style" w:hAnsi="Bookman Old Style"/>
          <w:color w:val="404040" w:themeColor="text1" w:themeTint="BF"/>
        </w:rPr>
        <w:br/>
      </w:r>
      <w:r w:rsidRPr="002926E6">
        <w:rPr>
          <w:rFonts w:ascii="Bookman Old Style" w:hAnsi="Bookman Old Style"/>
          <w:b/>
          <w:bCs/>
          <w:color w:val="404040" w:themeColor="text1" w:themeTint="BF"/>
        </w:rPr>
        <w:t>- Cogito, Ergo Sum</w:t>
      </w:r>
      <w:r w:rsidRPr="002926E6">
        <w:rPr>
          <w:rFonts w:ascii="Bookman Old Style" w:hAnsi="Bookman Old Style"/>
          <w:color w:val="404040" w:themeColor="text1" w:themeTint="BF"/>
        </w:rPr>
        <w:br/>
        <w:t>Choć pozornie wydaje się, że przed tymi argumentami nie obroni się żadne twierdzenie, że wszystko jest wątpliwe. Jednak to właśnie w zwątpieniu znalazła się owa ostoja pewności. Kartezjusz twierdził, że skoro wątpimy, to myślimy, a co za tym idzie istnieje myśl. Mogę się co prawda mylić, ale skoro się mylę to znaczy, że myślę. W człowieku bowiem tkwi fundament wiedzy, w samym podmiocie nie zaś w przedmiocie. Jeśli z kolei istnieje myśl, to musi istnieć ktoś, kto myśli, musi istnieć jaźń. Czyli muszę istnieć ja sam. Skoro myślę to znaczy, że jestem. "Cogito ergo sum" (myślę więc jestem) to było słynne stwierdzenie Kartezjusza. </w:t>
      </w:r>
      <w:r w:rsidRPr="002926E6">
        <w:rPr>
          <w:rFonts w:ascii="Bookman Old Style" w:hAnsi="Bookman Old Style"/>
          <w:color w:val="404040" w:themeColor="text1" w:themeTint="BF"/>
        </w:rPr>
        <w:br/>
      </w:r>
      <w:r w:rsidRPr="002926E6">
        <w:rPr>
          <w:rFonts w:ascii="Bookman Old Style" w:hAnsi="Bookman Old Style"/>
          <w:color w:val="404040" w:themeColor="text1" w:themeTint="BF"/>
        </w:rPr>
        <w:br/>
      </w:r>
      <w:r w:rsidRPr="002926E6">
        <w:rPr>
          <w:rFonts w:ascii="Bookman Old Style" w:hAnsi="Bookman Old Style"/>
          <w:b/>
          <w:bCs/>
          <w:color w:val="404040" w:themeColor="text1" w:themeTint="BF"/>
        </w:rPr>
        <w:t>- Istnienie Boga i istnienie ciał</w:t>
      </w:r>
      <w:r w:rsidRPr="002926E6">
        <w:rPr>
          <w:rFonts w:ascii="Bookman Old Style" w:hAnsi="Bookman Old Style"/>
          <w:color w:val="404040" w:themeColor="text1" w:themeTint="BF"/>
        </w:rPr>
        <w:br/>
        <w:t>O ile istnienie Boga i świata materialnego nie może samo obronić się przed argumentami metodycznego sceptycyzmu, o tyle da się je uzasadnić z pomocą przesłanki o istnieniu jaźni, o której była mowa wyżej. </w:t>
      </w:r>
      <w:r w:rsidRPr="002926E6">
        <w:rPr>
          <w:rFonts w:ascii="Bookman Old Style" w:hAnsi="Bookman Old Style"/>
          <w:color w:val="404040" w:themeColor="text1" w:themeTint="BF"/>
        </w:rPr>
        <w:br/>
        <w:t>I tak zdaniem Kartezjusza istnienie Boga wynika z faktu istnienia jaźni. Jako doskonała bowiem jaźń nie może istnieć sama przez się ale mysi mieć jakąś doskonałą przyczyną, którą jest nic innego jak właśnie Bóg. Poza tym istnienie Boga wynika już z samej idei jaką mamy o Bogu czyli istocie doskonałej. Idea Boga jest ideą doskonałą więc jaźń jako mniej doskonała nie może być przyczyną tejże idei. Skutek bowiem nie może być doskonalszy od przyczyny. Skoro więc posiadamy ideę Boga to musi istnieć Bóg, który nam ją w umyśle zaszczepił. </w:t>
      </w:r>
      <w:r w:rsidRPr="002926E6">
        <w:rPr>
          <w:rFonts w:ascii="Bookman Old Style" w:hAnsi="Bookman Old Style"/>
          <w:color w:val="404040" w:themeColor="text1" w:themeTint="BF"/>
        </w:rPr>
        <w:br/>
        <w:t xml:space="preserve">Jeżeli chodzi zaś argument za istnieniem ciał to Kartezjusz wyszedł z założenia, że </w:t>
      </w:r>
      <w:r w:rsidRPr="002926E6">
        <w:rPr>
          <w:rFonts w:ascii="Bookman Old Style" w:hAnsi="Bookman Old Style"/>
          <w:color w:val="404040" w:themeColor="text1" w:themeTint="BF"/>
        </w:rPr>
        <w:lastRenderedPageBreak/>
        <w:t>skoro posiadamy naturalną skłonność do uznania realności ciał, a ową realność zaszczepił w nas Bóg, który przecież nie może nas wprowadzać w błąd to ciała istnieć muszą. W taki sposób widzimy, że istnienie ciał nie jest pewne bezpośrednio ale zagwarantowane niejako przez Boską doskonałość. </w:t>
      </w:r>
    </w:p>
    <w:p w:rsidR="006B49E1" w:rsidRPr="002926E6" w:rsidRDefault="003C1A94" w:rsidP="003C1A94">
      <w:pPr>
        <w:pStyle w:val="Standard"/>
        <w:rPr>
          <w:rFonts w:ascii="Bookman Old Style" w:hAnsi="Bookman Old Style"/>
          <w:color w:val="404040" w:themeColor="text1" w:themeTint="BF"/>
          <w:kern w:val="0"/>
          <w:sz w:val="22"/>
          <w:szCs w:val="22"/>
        </w:rPr>
      </w:pPr>
      <w:r w:rsidRPr="002926E6">
        <w:rPr>
          <w:rFonts w:ascii="Bookman Old Style" w:hAnsi="Bookman Old Style"/>
          <w:b/>
          <w:bCs/>
          <w:color w:val="404040" w:themeColor="text1" w:themeTint="BF"/>
          <w:kern w:val="0"/>
          <w:sz w:val="22"/>
          <w:szCs w:val="22"/>
        </w:rPr>
        <w:t>- Własności Boga</w:t>
      </w:r>
      <w:r w:rsidRPr="002926E6">
        <w:rPr>
          <w:rFonts w:ascii="Bookman Old Style" w:hAnsi="Bookman Old Style"/>
          <w:color w:val="404040" w:themeColor="text1" w:themeTint="BF"/>
          <w:kern w:val="0"/>
          <w:sz w:val="22"/>
          <w:szCs w:val="22"/>
        </w:rPr>
        <w:br/>
        <w:t>Główną własnością Boga była dla Kartezjusza jego nieskończoność. Dodawał, że Bóg jest przede wszystkim wolą, bo wola, jedyna z władz duchowych jest nieograniczona. Nie ogranicza jej bowiem ani prawda, ani reguły dobra, bowiem prawdą i dobrem jest to co sam Bóg chce aby takim było. </w:t>
      </w: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br/>
        <w:t>- Własności duszy</w:t>
      </w:r>
      <w:r w:rsidRPr="002926E6">
        <w:rPr>
          <w:rFonts w:ascii="Bookman Old Style" w:hAnsi="Bookman Old Style"/>
          <w:color w:val="404040" w:themeColor="text1" w:themeTint="BF"/>
          <w:kern w:val="0"/>
          <w:sz w:val="22"/>
          <w:szCs w:val="22"/>
        </w:rPr>
        <w:br/>
        <w:t>Główną i zarazem jedyną własnością duszy jest myślenie. Jako nie związana z ciałem w żaden sposób nie mogła nawet (wbrew greckiej tradycji) stanowić czynnika życia. O ile w starożytności panował podział na istoty żywe i martwe o tyle od Kartezjusza rozpoczął się podział na świadome i nieświadome. Świadomość jest czynnikiem zupełnie odrębnym nie mający pokrewieństwa z czynnościami organicznymi. Duszę zaś posiada teraz tylko i wyłącznie istota świadoma.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t>- Własności ciała</w:t>
      </w:r>
      <w:r w:rsidRPr="002926E6">
        <w:rPr>
          <w:rFonts w:ascii="Bookman Old Style" w:hAnsi="Bookman Old Style"/>
          <w:color w:val="404040" w:themeColor="text1" w:themeTint="BF"/>
          <w:kern w:val="0"/>
          <w:sz w:val="22"/>
          <w:szCs w:val="22"/>
        </w:rPr>
        <w:br/>
        <w:t>Główną natomiast i jedyną własnością ciała jest rozciągłość. Ciała są w związku z tym: - nieskończenie podzielne (a co za tym idzie upada atomizm), - zmienne ale pod względem ruchu, który jest jedyną postacią zachodzących w nich zmian, - posiadają jedynie własności geometryczne i ulegają zmianom mechanicznym, - nie ma jakości ani zmian jakościowych przedmiotów. </w:t>
      </w:r>
      <w:r w:rsidRPr="002926E6">
        <w:rPr>
          <w:rFonts w:ascii="Bookman Old Style" w:hAnsi="Bookman Old Style"/>
          <w:color w:val="404040" w:themeColor="text1" w:themeTint="BF"/>
          <w:kern w:val="0"/>
          <w:sz w:val="22"/>
          <w:szCs w:val="22"/>
        </w:rPr>
        <w:br/>
        <w:t xml:space="preserve">W związku z powyższymi założeniami samo życie pojmował Kartezjusz jako proces czysto mechaniczny, powodowany przez impulsy materialne wytwarzane we krwi. Zwierzęta pojmował zaś po prostu jako maszyny. Zastępując w ten sposób (właściwą scholastykom) </w:t>
      </w:r>
      <w:proofErr w:type="spellStart"/>
      <w:r w:rsidRPr="002926E6">
        <w:rPr>
          <w:rFonts w:ascii="Bookman Old Style" w:hAnsi="Bookman Old Style"/>
          <w:color w:val="404040" w:themeColor="text1" w:themeTint="BF"/>
          <w:kern w:val="0"/>
          <w:sz w:val="22"/>
          <w:szCs w:val="22"/>
        </w:rPr>
        <w:t>dynamistyczną</w:t>
      </w:r>
      <w:proofErr w:type="spellEnd"/>
      <w:r w:rsidRPr="002926E6">
        <w:rPr>
          <w:rFonts w:ascii="Bookman Old Style" w:hAnsi="Bookman Old Style"/>
          <w:color w:val="404040" w:themeColor="text1" w:themeTint="BF"/>
          <w:kern w:val="0"/>
          <w:sz w:val="22"/>
          <w:szCs w:val="22"/>
        </w:rPr>
        <w:t xml:space="preserve"> koncepcję przyrody - koncepcją mechanistyczną uczynił Kartezjusz obraz świata bardziej przejrzystym i łatwiejszym dla naukowych opracowań. </w:t>
      </w:r>
      <w:r w:rsidRPr="002926E6">
        <w:rPr>
          <w:rFonts w:ascii="Bookman Old Style" w:hAnsi="Bookman Old Style"/>
          <w:color w:val="404040" w:themeColor="text1" w:themeTint="BF"/>
          <w:kern w:val="0"/>
          <w:sz w:val="22"/>
          <w:szCs w:val="22"/>
        </w:rPr>
        <w:br/>
        <w:t>Ruch materii tłumaczył zaś tylko i wyłącznie przez działanie Boga. To Bóg udziela ruchu ciałom, które od tego momentu nie mogą go ani zahamować ani spotęgować. Ilość ruchu we wszechświecie jest stała. To było Prawo Zachowania Ruchu sformułowane przez Kartezjusza.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t>- Dualizm Duszy i Ciała</w:t>
      </w:r>
      <w:r w:rsidRPr="002926E6">
        <w:rPr>
          <w:rFonts w:ascii="Bookman Old Style" w:hAnsi="Bookman Old Style"/>
          <w:color w:val="404040" w:themeColor="text1" w:themeTint="BF"/>
          <w:kern w:val="0"/>
          <w:sz w:val="22"/>
          <w:szCs w:val="22"/>
        </w:rPr>
        <w:br/>
        <w:t xml:space="preserve">Zdaniem Kartezjusza istnieją więc we wszechświecie dwie substancje. Substancja myśląca czyli dusza i substancja rozciągła czyli ciało. O ile ciała są nieświadome, choć posiadają rozciągłość o tyle dusze są świadome ale za to pozbawione rozciągłości. Uważał Kartezjusz, że nie tylko ciała organiczne ale również i zwierzęta nie posiadają duszy (mimo iż posiadają ciała). Jedynie człowiek jest złożony zarówno z ciała jak i duszy, choć jego ciało podobnie jak zwierzęce jest tylko automatem. Ciało jednak nie może spowodować zmian w duszy tak samo jak i dusza nie może stać się przyczyną zmian w </w:t>
      </w:r>
      <w:proofErr w:type="spellStart"/>
      <w:r w:rsidRPr="002926E6">
        <w:rPr>
          <w:rFonts w:ascii="Bookman Old Style" w:hAnsi="Bookman Old Style"/>
          <w:color w:val="404040" w:themeColor="text1" w:themeTint="BF"/>
          <w:kern w:val="0"/>
          <w:sz w:val="22"/>
          <w:szCs w:val="22"/>
        </w:rPr>
        <w:t>cciele</w:t>
      </w:r>
      <w:proofErr w:type="spellEnd"/>
      <w:r w:rsidRPr="002926E6">
        <w:rPr>
          <w:rFonts w:ascii="Bookman Old Style" w:hAnsi="Bookman Old Style"/>
          <w:color w:val="404040" w:themeColor="text1" w:themeTint="BF"/>
          <w:kern w:val="0"/>
          <w:sz w:val="22"/>
          <w:szCs w:val="22"/>
        </w:rPr>
        <w:t>. Jednak ciało może wpłynąć na zmianę kierunku tego co dzieje się w duszy, a dusza na zmianę kierunku tego co dziej się w ciele. Było to nie zbyt wyraźne wyjaśnienie Kartezjusza i problem ten kontynuowany będzie przez wielu jego następców. </w:t>
      </w:r>
    </w:p>
    <w:p w:rsidR="006B49E1" w:rsidRPr="002926E6" w:rsidRDefault="006B49E1" w:rsidP="003C1A94">
      <w:pPr>
        <w:pStyle w:val="Standard"/>
        <w:rPr>
          <w:rFonts w:ascii="Bookman Old Style" w:hAnsi="Bookman Old Style"/>
          <w:color w:val="404040" w:themeColor="text1" w:themeTint="BF"/>
          <w:kern w:val="0"/>
          <w:sz w:val="22"/>
          <w:szCs w:val="22"/>
        </w:rPr>
      </w:pPr>
    </w:p>
    <w:p w:rsidR="006B49E1" w:rsidRPr="002926E6" w:rsidRDefault="006B49E1" w:rsidP="003C1A94">
      <w:pPr>
        <w:pStyle w:val="Standard"/>
        <w:rPr>
          <w:rFonts w:ascii="Bookman Old Style" w:hAnsi="Bookman Old Style"/>
          <w:color w:val="404040" w:themeColor="text1" w:themeTint="BF"/>
          <w:kern w:val="0"/>
          <w:sz w:val="22"/>
          <w:szCs w:val="22"/>
        </w:rPr>
      </w:pPr>
    </w:p>
    <w:p w:rsidR="006B49E1" w:rsidRPr="002926E6" w:rsidRDefault="006B49E1" w:rsidP="003C1A94">
      <w:pPr>
        <w:pStyle w:val="Standard"/>
        <w:rPr>
          <w:rFonts w:ascii="Bookman Old Style" w:hAnsi="Bookman Old Style"/>
          <w:color w:val="404040" w:themeColor="text1" w:themeTint="BF"/>
          <w:kern w:val="0"/>
          <w:sz w:val="22"/>
          <w:szCs w:val="22"/>
        </w:rPr>
      </w:pPr>
    </w:p>
    <w:p w:rsidR="006B49E1" w:rsidRPr="002926E6" w:rsidRDefault="006B49E1" w:rsidP="003C1A94">
      <w:pPr>
        <w:pStyle w:val="Standard"/>
        <w:rPr>
          <w:rFonts w:ascii="Bookman Old Style" w:hAnsi="Bookman Old Style"/>
          <w:color w:val="404040" w:themeColor="text1" w:themeTint="BF"/>
          <w:kern w:val="0"/>
          <w:sz w:val="22"/>
          <w:szCs w:val="22"/>
        </w:rPr>
      </w:pPr>
    </w:p>
    <w:p w:rsidR="003C1A94" w:rsidRPr="002926E6" w:rsidRDefault="003C1A94" w:rsidP="003C1A94">
      <w:pPr>
        <w:pStyle w:val="Standard"/>
        <w:rPr>
          <w:rFonts w:ascii="Bookman Old Style" w:hAnsi="Bookman Old Style"/>
          <w:color w:val="404040" w:themeColor="text1" w:themeTint="BF"/>
          <w:sz w:val="22"/>
          <w:szCs w:val="22"/>
        </w:rPr>
      </w:pP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br/>
      </w:r>
      <w:r w:rsidRPr="002926E6">
        <w:rPr>
          <w:rFonts w:ascii="Bookman Old Style" w:hAnsi="Bookman Old Style"/>
          <w:b/>
          <w:bCs/>
          <w:color w:val="404040" w:themeColor="text1" w:themeTint="BF"/>
          <w:kern w:val="0"/>
          <w:sz w:val="22"/>
          <w:szCs w:val="22"/>
        </w:rPr>
        <w:lastRenderedPageBreak/>
        <w:t>TEORIA POZNANIA i PSYCHOLOGIA</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t>- rozum a zmysły</w:t>
      </w:r>
      <w:r w:rsidRPr="002926E6">
        <w:rPr>
          <w:rFonts w:ascii="Bookman Old Style" w:hAnsi="Bookman Old Style"/>
          <w:color w:val="404040" w:themeColor="text1" w:themeTint="BF"/>
          <w:kern w:val="0"/>
          <w:sz w:val="22"/>
          <w:szCs w:val="22"/>
        </w:rPr>
        <w:br/>
        <w:t>Do poznania niezbędny jest rozum. To co rozum uzna za jasne i wyraźne jest pewne. Zmysły natomiast, które przydatne są do życia nie są absolutnie przydatne przy poznawaniu. Zadaniem zmysłów jest jedynie zasygnalizowanie co jest dla człowieka szkodliwe, a co odpowiednie. Nie stanowią jednak źródła poznania.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r>
      <w:r w:rsidRPr="002926E6">
        <w:rPr>
          <w:rFonts w:ascii="Bookman Old Style" w:hAnsi="Bookman Old Style"/>
          <w:b/>
          <w:bCs/>
          <w:color w:val="404040" w:themeColor="text1" w:themeTint="BF"/>
          <w:kern w:val="0"/>
          <w:sz w:val="22"/>
          <w:szCs w:val="22"/>
        </w:rPr>
        <w:t>- idee wrodzone</w:t>
      </w:r>
      <w:r w:rsidRPr="002926E6">
        <w:rPr>
          <w:rFonts w:ascii="Bookman Old Style" w:hAnsi="Bookman Old Style"/>
          <w:color w:val="404040" w:themeColor="text1" w:themeTint="BF"/>
          <w:kern w:val="0"/>
          <w:sz w:val="22"/>
          <w:szCs w:val="22"/>
        </w:rPr>
        <w:br/>
        <w:t>Przedstawienia, które odnajdujemy w naszym umyśle są trzech rodzajów: </w:t>
      </w:r>
      <w:r w:rsidRPr="002926E6">
        <w:rPr>
          <w:rFonts w:ascii="Bookman Old Style" w:hAnsi="Bookman Old Style"/>
          <w:color w:val="404040" w:themeColor="text1" w:themeTint="BF"/>
          <w:kern w:val="0"/>
          <w:sz w:val="22"/>
          <w:szCs w:val="22"/>
        </w:rPr>
        <w:br/>
        <w:t>a) wrodzone - czyli urodzone razem z nami (np. przedstawienie Boga) b) nabyte - przychodzące z zewnątrz (np. przedstawienie słońca) c) skonstruowane - utworzone przez nas samych (np. przedstawienie hipogryfa). </w:t>
      </w:r>
      <w:r w:rsidRPr="002926E6">
        <w:rPr>
          <w:rFonts w:ascii="Bookman Old Style" w:hAnsi="Bookman Old Style"/>
          <w:color w:val="404040" w:themeColor="text1" w:themeTint="BF"/>
          <w:kern w:val="0"/>
          <w:sz w:val="22"/>
          <w:szCs w:val="22"/>
        </w:rPr>
        <w:br/>
        <w:t xml:space="preserve">O ile spornym było istnienie </w:t>
      </w:r>
      <w:proofErr w:type="spellStart"/>
      <w:r w:rsidRPr="002926E6">
        <w:rPr>
          <w:rFonts w:ascii="Bookman Old Style" w:hAnsi="Bookman Old Style"/>
          <w:color w:val="404040" w:themeColor="text1" w:themeTint="BF"/>
          <w:kern w:val="0"/>
          <w:sz w:val="22"/>
          <w:szCs w:val="22"/>
        </w:rPr>
        <w:t>idej</w:t>
      </w:r>
      <w:proofErr w:type="spellEnd"/>
      <w:r w:rsidRPr="002926E6">
        <w:rPr>
          <w:rFonts w:ascii="Bookman Old Style" w:hAnsi="Bookman Old Style"/>
          <w:color w:val="404040" w:themeColor="text1" w:themeTint="BF"/>
          <w:kern w:val="0"/>
          <w:sz w:val="22"/>
          <w:szCs w:val="22"/>
        </w:rPr>
        <w:t xml:space="preserve"> wrodzonych to Kartezjusz opowiadał się z całą stanowczością za ich istnieniem. Twierdził, że idee wrodzone nie są wynikiem działanie na umysł przedmiotów zewnętrznych lecz należą do umysłu jako jego własność. Ponad to są niezależne od woli, proste i jasne. To bowiem co należy do rozumu ciemne dla niego być nie może. Ponad to, co bardzo istotne, idee wrodzone jako wpojone umysłowi przez Boga są niezawodne. Podczas gdy idee nabyte są wynikiem przypadkowego działania rzeczy na umysł, prawdziwość </w:t>
      </w:r>
      <w:proofErr w:type="spellStart"/>
      <w:r w:rsidRPr="002926E6">
        <w:rPr>
          <w:rFonts w:ascii="Bookman Old Style" w:hAnsi="Bookman Old Style"/>
          <w:color w:val="404040" w:themeColor="text1" w:themeTint="BF"/>
          <w:kern w:val="0"/>
          <w:sz w:val="22"/>
          <w:szCs w:val="22"/>
        </w:rPr>
        <w:t>idej</w:t>
      </w:r>
      <w:proofErr w:type="spellEnd"/>
      <w:r w:rsidRPr="002926E6">
        <w:rPr>
          <w:rFonts w:ascii="Bookman Old Style" w:hAnsi="Bookman Old Style"/>
          <w:color w:val="404040" w:themeColor="text1" w:themeTint="BF"/>
          <w:kern w:val="0"/>
          <w:sz w:val="22"/>
          <w:szCs w:val="22"/>
        </w:rPr>
        <w:t xml:space="preserve"> wrodzonych gwarantuje sam Bóg. W taki sposób Augustyński iluminizm znalazł niejako swoje odbicie w filozofii Kartezjusza.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r>
      <w:r w:rsidRPr="002926E6">
        <w:rPr>
          <w:rFonts w:ascii="Bookman Old Style" w:hAnsi="Bookman Old Style"/>
          <w:b/>
          <w:color w:val="404040" w:themeColor="text1" w:themeTint="BF"/>
          <w:kern w:val="0"/>
          <w:sz w:val="22"/>
          <w:szCs w:val="22"/>
        </w:rPr>
        <w:t>- Prawda i Błąd a Rozum i Wola</w:t>
      </w:r>
      <w:r w:rsidRPr="002926E6">
        <w:rPr>
          <w:rFonts w:ascii="Bookman Old Style" w:hAnsi="Bookman Old Style"/>
          <w:color w:val="404040" w:themeColor="text1" w:themeTint="BF"/>
          <w:kern w:val="0"/>
          <w:sz w:val="22"/>
          <w:szCs w:val="22"/>
        </w:rPr>
        <w:br/>
        <w:t>Wszystkie przeżycia dzielił Kartezjusz na bierne (gdy mamy jakieś idee, gdy sobie coś przedstawiamy) i czynne (twierdzimy coś, czemuś zaprzeczamy lub sądzimy, dokonujemy aktów). Obydwa przeżycia różnią się między sobą najwyraźniej gdy mówimy o problemie błędu i fałszu. Gdy bowiem zachowujemy się biernie, jasnym jest, że błędu popełnić nie możemy. Samo bowiem przedstawienie nie jest fałszywe. Równie prawdziwe jest bowiem to, że przedstawiamy sobie chimerę jak i to, że przedstawiamy sobie kozę. Dopiero gdy o owych ideach zaczynamy wypowiadać sądy (twierdząc na przykład, że idei chimery odpowiada istota realna) pojawić się może błąd i fałsz. Wówczas bowiem dopiero zachowujemy się czynnie. </w:t>
      </w:r>
      <w:r w:rsidRPr="002926E6">
        <w:rPr>
          <w:rFonts w:ascii="Bookman Old Style" w:hAnsi="Bookman Old Style"/>
          <w:color w:val="404040" w:themeColor="text1" w:themeTint="BF"/>
          <w:kern w:val="0"/>
          <w:sz w:val="22"/>
          <w:szCs w:val="22"/>
        </w:rPr>
        <w:br/>
        <w:t>Zdaniem Kartezjusza sam sąd jest sprawą bardzo złożoną ponieważ biorą w nim udział zarówno rozum jak i wola. O ile rozum jest zdolnością przedstawiania, o tyle do zadań woli jako władzy czynnej należy właśnie twierdzenie, zaprzeczanie czy wydawanie sądów. Sąd nie jest bowiem aktem intelektualnym ale raczej aktem decyzji. Jak wcześniej wspomniałem błądzimy nie tyle przedstawiając sobie chimerę ale twierdząc, że odpowiada jej lub nie odpowiada przedmiot realny. To wola więc, a nie rozum błądzi. W taki sposób ujawnił się woluntaryzm w Kartezjańskiej teorii poznania. </w:t>
      </w:r>
      <w:r w:rsidRPr="002926E6">
        <w:rPr>
          <w:rFonts w:ascii="Bookman Old Style" w:hAnsi="Bookman Old Style"/>
          <w:color w:val="404040" w:themeColor="text1" w:themeTint="BF"/>
          <w:kern w:val="0"/>
          <w:sz w:val="22"/>
          <w:szCs w:val="22"/>
        </w:rPr>
        <w:br/>
        <w:t>Błąd w wolnej woli bierze się stąd, że jest ona w przeciwieństwie do rozumu nieograniczona. Gdy wola wydaje sąd tam gdzie rozum nie sięga możliwe jest wystąpienie błędu i fałszu. Bóg dał człowiekowi wolną wolę, ale pociągnęło to za sobą możliwość popełniania przez niego błędu.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kern w:val="0"/>
          <w:sz w:val="22"/>
          <w:szCs w:val="22"/>
        </w:rPr>
        <w:br/>
        <w:t xml:space="preserve">- </w:t>
      </w:r>
      <w:r w:rsidRPr="002926E6">
        <w:rPr>
          <w:rFonts w:ascii="Bookman Old Style" w:hAnsi="Bookman Old Style"/>
          <w:b/>
          <w:color w:val="404040" w:themeColor="text1" w:themeTint="BF"/>
          <w:kern w:val="0"/>
          <w:sz w:val="22"/>
          <w:szCs w:val="22"/>
        </w:rPr>
        <w:t>afekty</w:t>
      </w:r>
      <w:r w:rsidRPr="002926E6">
        <w:rPr>
          <w:rFonts w:ascii="Bookman Old Style" w:hAnsi="Bookman Old Style"/>
          <w:color w:val="404040" w:themeColor="text1" w:themeTint="BF"/>
          <w:kern w:val="0"/>
          <w:sz w:val="22"/>
          <w:szCs w:val="22"/>
        </w:rPr>
        <w:br/>
        <w:t xml:space="preserve">Wszystkie stany świadomości poza aktami woli i postrzeżeniami uważał Kartezjusz za przedstawienia, w których rozróżniał dwa rodzaje. Są bowiem - po pierwsze takie przedstawienia, które dusza odnosi do rzeczy zewnętrznych, - po drugie zaś takie, które wywodzi z siebie samej. Te ostatnie noszą nazwę afektów. Są one wywoływane przez przedmioty zewnętrzne, bezpośrednie zaś przez rezydujące we krwi "siły życiowe". Zależnie od temperamentu danej osoby różne wywołują u niej afekty. Zdaniem Kartezjusza afekty pobudzają dusze do działania. I tak na przykład popęd </w:t>
      </w:r>
      <w:r w:rsidRPr="002926E6">
        <w:rPr>
          <w:rFonts w:ascii="Bookman Old Style" w:hAnsi="Bookman Old Style"/>
          <w:color w:val="404040" w:themeColor="text1" w:themeTint="BF"/>
          <w:kern w:val="0"/>
          <w:sz w:val="22"/>
          <w:szCs w:val="22"/>
        </w:rPr>
        <w:lastRenderedPageBreak/>
        <w:t>do ucieczki jest podstawowym czynnikiem afektu strachu. Całą różnorodność złożonych afektów sprowadził ostatecznie do sześciu prostych i pierwotnych. Są nimi: podziw, miłość, nienawiść, pożądanie, radość i smutek. W ten sposób wprowadził Kartezjusz przejrzystość i jasność do psychologii. Od tego czasu teoria afektu na stałe weszła do zagadnień filozofii wieku XVII. </w:t>
      </w:r>
      <w:r w:rsidRPr="002926E6">
        <w:rPr>
          <w:rFonts w:ascii="Bookman Old Style" w:hAnsi="Bookman Old Style"/>
          <w:color w:val="404040" w:themeColor="text1" w:themeTint="BF"/>
          <w:kern w:val="0"/>
          <w:sz w:val="22"/>
          <w:szCs w:val="22"/>
        </w:rPr>
        <w:br/>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UTYLITARYSTYCZNA ETYKA</w:t>
      </w:r>
      <w:r w:rsidRPr="002926E6">
        <w:rPr>
          <w:rFonts w:ascii="Bookman Old Style" w:hAnsi="Bookman Old Style"/>
          <w:color w:val="404040" w:themeColor="text1" w:themeTint="BF"/>
          <w:sz w:val="22"/>
          <w:szCs w:val="22"/>
        </w:rPr>
        <w:br/>
      </w:r>
      <w:r w:rsidRPr="002926E6">
        <w:rPr>
          <w:rFonts w:ascii="Bookman Old Style" w:hAnsi="Bookman Old Style"/>
          <w:color w:val="404040" w:themeColor="text1" w:themeTint="BF"/>
          <w:sz w:val="22"/>
          <w:szCs w:val="22"/>
        </w:rPr>
        <w:br/>
      </w:r>
      <w:proofErr w:type="spellStart"/>
      <w:r w:rsidRPr="002926E6">
        <w:rPr>
          <w:rFonts w:ascii="Bookman Old Style" w:hAnsi="Bookman Old Style"/>
          <w:color w:val="404040" w:themeColor="text1" w:themeTint="BF"/>
          <w:sz w:val="22"/>
          <w:szCs w:val="22"/>
        </w:rPr>
        <w:t>Etyka</w:t>
      </w:r>
      <w:proofErr w:type="spellEnd"/>
      <w:r w:rsidRPr="002926E6">
        <w:rPr>
          <w:rFonts w:ascii="Bookman Old Style" w:hAnsi="Bookman Old Style"/>
          <w:color w:val="404040" w:themeColor="text1" w:themeTint="BF"/>
          <w:sz w:val="22"/>
          <w:szCs w:val="22"/>
        </w:rPr>
        <w:t xml:space="preserve"> Kartezjusza była prosta. Należy panować nad afektami i utrzymywać je w granicach użyteczności. Swą etykę uzupełniał też teorią cnót i celów idealnych. Ostatecznie jednak nie opracował do końca etyki nie odpowiadającej jego zdolnościom i zamiłowaniom. </w:t>
      </w:r>
      <w:r w:rsidRPr="002926E6">
        <w:rPr>
          <w:rFonts w:ascii="Bookman Old Style" w:hAnsi="Bookman Old Style"/>
          <w:color w:val="404040" w:themeColor="text1" w:themeTint="BF"/>
          <w:sz w:val="22"/>
          <w:szCs w:val="22"/>
        </w:rPr>
        <w:br/>
        <w:t>-------------------------------------------------------</w:t>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Filozofii Kartezjusz zaowocowała następującymi tezami:</w:t>
      </w:r>
      <w:r w:rsidRPr="002926E6">
        <w:rPr>
          <w:rFonts w:ascii="Bookman Old Style" w:hAnsi="Bookman Old Style"/>
          <w:color w:val="404040" w:themeColor="text1" w:themeTint="BF"/>
          <w:sz w:val="22"/>
          <w:szCs w:val="22"/>
        </w:rPr>
        <w:t> </w:t>
      </w:r>
      <w:r w:rsidRPr="002926E6">
        <w:rPr>
          <w:rFonts w:ascii="Bookman Old Style" w:hAnsi="Bookman Old Style"/>
          <w:color w:val="404040" w:themeColor="text1" w:themeTint="BF"/>
          <w:sz w:val="22"/>
          <w:szCs w:val="22"/>
        </w:rPr>
        <w:br/>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 xml:space="preserve">w metodologii </w:t>
      </w:r>
      <w:r w:rsidRPr="002926E6">
        <w:rPr>
          <w:rFonts w:ascii="Bookman Old Style" w:hAnsi="Bookman Old Style"/>
          <w:color w:val="404040" w:themeColor="text1" w:themeTint="BF"/>
          <w:sz w:val="22"/>
          <w:szCs w:val="22"/>
        </w:rPr>
        <w:t>- kryterium jasności i wyraźności w poznaniu oraz program powszechnej wiedzy racjonalnej, zbudowanej na wzór matematyki. Ponad to metoda sceptycyzmu jako sposobu na znalezienie wiedzy niezawodnej. </w:t>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w metafizyce</w:t>
      </w:r>
      <w:r w:rsidRPr="002926E6">
        <w:rPr>
          <w:rFonts w:ascii="Bookman Old Style" w:hAnsi="Bookman Old Style"/>
          <w:color w:val="404040" w:themeColor="text1" w:themeTint="BF"/>
          <w:sz w:val="22"/>
          <w:szCs w:val="22"/>
        </w:rPr>
        <w:t xml:space="preserve"> - przede wszystkim dualizm Boga (substancji nieskończonej) i stworzonego przez niego świata (substancji skończonej). Ponad to dualizm substancji myślącej i rozciągłej. Nieograniczona wolność Boga i ludzkiej woli. </w:t>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w filozofii przyrody</w:t>
      </w:r>
      <w:r w:rsidRPr="002926E6">
        <w:rPr>
          <w:rFonts w:ascii="Bookman Old Style" w:hAnsi="Bookman Old Style"/>
          <w:color w:val="404040" w:themeColor="text1" w:themeTint="BF"/>
          <w:sz w:val="22"/>
          <w:szCs w:val="22"/>
        </w:rPr>
        <w:t xml:space="preserve"> - mechanistyczne pojmowanie materii i jej nieatomistyczna budowa. </w:t>
      </w:r>
      <w:r w:rsidRPr="002926E6">
        <w:rPr>
          <w:rFonts w:ascii="Bookman Old Style" w:hAnsi="Bookman Old Style"/>
          <w:color w:val="404040" w:themeColor="text1" w:themeTint="BF"/>
          <w:sz w:val="22"/>
          <w:szCs w:val="22"/>
        </w:rPr>
        <w:br/>
      </w:r>
      <w:r w:rsidRPr="002926E6">
        <w:rPr>
          <w:rFonts w:ascii="Bookman Old Style" w:hAnsi="Bookman Old Style"/>
          <w:b/>
          <w:color w:val="404040" w:themeColor="text1" w:themeTint="BF"/>
          <w:sz w:val="22"/>
          <w:szCs w:val="22"/>
        </w:rPr>
        <w:t>w teorii poznania</w:t>
      </w:r>
      <w:r w:rsidRPr="002926E6">
        <w:rPr>
          <w:rFonts w:ascii="Bookman Old Style" w:hAnsi="Bookman Old Style"/>
          <w:color w:val="404040" w:themeColor="text1" w:themeTint="BF"/>
          <w:sz w:val="22"/>
          <w:szCs w:val="22"/>
        </w:rPr>
        <w:t xml:space="preserve"> - znalezienie pewności samowiedzy "myślę więc jestem". Przeświadczenie, że idee są nam wrodzone oraz woluntarystyczna teoria sądu. </w:t>
      </w:r>
    </w:p>
    <w:p w:rsidR="003C1A94" w:rsidRPr="002926E6" w:rsidRDefault="003C1A94" w:rsidP="003C1A94">
      <w:pPr>
        <w:pStyle w:val="Standard"/>
        <w:rPr>
          <w:rFonts w:ascii="Bookman Old Style" w:hAnsi="Bookman Old Style"/>
          <w:color w:val="404040" w:themeColor="text1" w:themeTint="BF"/>
          <w:sz w:val="22"/>
          <w:szCs w:val="22"/>
        </w:rPr>
      </w:pPr>
    </w:p>
    <w:p w:rsidR="003C1A94" w:rsidRPr="002926E6" w:rsidRDefault="003C1A94" w:rsidP="003C1A94">
      <w:pPr>
        <w:pStyle w:val="Standard"/>
        <w:rPr>
          <w:rFonts w:ascii="Bookman Old Style" w:hAnsi="Bookman Old Style"/>
          <w:b/>
          <w:color w:val="404040" w:themeColor="text1" w:themeTint="BF"/>
          <w:sz w:val="22"/>
          <w:szCs w:val="22"/>
        </w:rPr>
      </w:pPr>
      <w:r w:rsidRPr="002926E6">
        <w:rPr>
          <w:rFonts w:ascii="Bookman Old Style" w:hAnsi="Bookman Old Style"/>
          <w:b/>
          <w:color w:val="404040" w:themeColor="text1" w:themeTint="BF"/>
          <w:sz w:val="22"/>
          <w:szCs w:val="22"/>
        </w:rPr>
        <w:t>PASCAL</w:t>
      </w:r>
    </w:p>
    <w:p w:rsidR="003C1A94" w:rsidRPr="002926E6" w:rsidRDefault="003C1A94" w:rsidP="003C1A94">
      <w:pPr>
        <w:pStyle w:val="Standard"/>
        <w:rPr>
          <w:rFonts w:ascii="Bookman Old Style" w:hAnsi="Bookman Old Style"/>
          <w:color w:val="404040" w:themeColor="text1" w:themeTint="BF"/>
          <w:sz w:val="22"/>
          <w:szCs w:val="22"/>
        </w:rPr>
      </w:pPr>
      <w:r w:rsidRPr="002926E6">
        <w:rPr>
          <w:rFonts w:ascii="Bookman Old Style" w:hAnsi="Bookman Old Style"/>
          <w:color w:val="404040" w:themeColor="text1" w:themeTint="BF"/>
          <w:sz w:val="22"/>
          <w:szCs w:val="22"/>
        </w:rPr>
        <w:t>Blaise Pascal (1623-1662) łączył genialne zdolności naukowe i literackie z głęboko religijną naturą. Życie krótkie, trapione nieustanną prawie chorobą i cierpieniem, wydało plon bogaty i różnorodny. Sławę dały mu twórcze pomysły na polu matematyki oraz publicystyczne Prowincjałki (</w:t>
      </w:r>
      <w:proofErr w:type="spellStart"/>
      <w:r w:rsidRPr="002926E6">
        <w:rPr>
          <w:rFonts w:ascii="Bookman Old Style" w:hAnsi="Bookman Old Style"/>
          <w:color w:val="404040" w:themeColor="text1" w:themeTint="BF"/>
          <w:sz w:val="22"/>
          <w:szCs w:val="22"/>
        </w:rPr>
        <w:t>Lettres</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Provinciales</w:t>
      </w:r>
      <w:proofErr w:type="spellEnd"/>
      <w:r w:rsidRPr="002926E6">
        <w:rPr>
          <w:rFonts w:ascii="Bookman Old Style" w:hAnsi="Bookman Old Style"/>
          <w:color w:val="404040" w:themeColor="text1" w:themeTint="BF"/>
          <w:sz w:val="22"/>
          <w:szCs w:val="22"/>
        </w:rPr>
        <w:t>), w których z niezwykłą przenikliwością, swobodą i dowcipem zwalczał oportunistyczną etykę jezuitów. Sam przylgnął do jansenizmu, chcącego odnowić ducha chrześcijańskiego przez nawrót do św. Augustyna. Pod koniec życia aspiracje religijne wzięły w nim górę całkowicie nad naukowymi i wiódł żywot mistyka i ascety, oddanego całkowicie Bogu. PISMA. Filozoficznie najważniejsze dzieło: Myśli (</w:t>
      </w:r>
      <w:proofErr w:type="spellStart"/>
      <w:r w:rsidRPr="002926E6">
        <w:rPr>
          <w:rFonts w:ascii="Bookman Old Style" w:hAnsi="Bookman Old Style"/>
          <w:color w:val="404040" w:themeColor="text1" w:themeTint="BF"/>
          <w:sz w:val="22"/>
          <w:szCs w:val="22"/>
        </w:rPr>
        <w:t>Pensees</w:t>
      </w:r>
      <w:proofErr w:type="spellEnd"/>
      <w:r w:rsidRPr="002926E6">
        <w:rPr>
          <w:rFonts w:ascii="Bookman Old Style" w:hAnsi="Bookman Old Style"/>
          <w:color w:val="404040" w:themeColor="text1" w:themeTint="BF"/>
          <w:sz w:val="22"/>
          <w:szCs w:val="22"/>
        </w:rPr>
        <w:t xml:space="preserve"> sur la </w:t>
      </w:r>
      <w:proofErr w:type="spellStart"/>
      <w:r w:rsidRPr="002926E6">
        <w:rPr>
          <w:rFonts w:ascii="Bookman Old Style" w:hAnsi="Bookman Old Style"/>
          <w:color w:val="404040" w:themeColor="text1" w:themeTint="BF"/>
          <w:sz w:val="22"/>
          <w:szCs w:val="22"/>
        </w:rPr>
        <w:t>religion</w:t>
      </w:r>
      <w:proofErr w:type="spellEnd"/>
      <w:r w:rsidRPr="002926E6">
        <w:rPr>
          <w:rFonts w:ascii="Bookman Old Style" w:hAnsi="Bookman Old Style"/>
          <w:color w:val="404040" w:themeColor="text1" w:themeTint="BF"/>
          <w:sz w:val="22"/>
          <w:szCs w:val="22"/>
        </w:rPr>
        <w:t xml:space="preserve">, znane zwykle pod skróconym tytułem: </w:t>
      </w:r>
      <w:proofErr w:type="spellStart"/>
      <w:r w:rsidRPr="002926E6">
        <w:rPr>
          <w:rFonts w:ascii="Bookman Old Style" w:hAnsi="Bookman Old Style"/>
          <w:color w:val="404040" w:themeColor="text1" w:themeTint="BF"/>
          <w:sz w:val="22"/>
          <w:szCs w:val="22"/>
        </w:rPr>
        <w:t>Pensees</w:t>
      </w:r>
      <w:proofErr w:type="spellEnd"/>
      <w:r w:rsidRPr="002926E6">
        <w:rPr>
          <w:rFonts w:ascii="Bookman Old Style" w:hAnsi="Bookman Old Style"/>
          <w:color w:val="404040" w:themeColor="text1" w:themeTint="BF"/>
          <w:sz w:val="22"/>
          <w:szCs w:val="22"/>
        </w:rPr>
        <w:t xml:space="preserve">), 1669, pochodzące z ostatniego okresu; nie dokończone, składa się z fragmentów </w:t>
      </w:r>
    </w:p>
    <w:p w:rsidR="003C1A94" w:rsidRPr="002926E6" w:rsidRDefault="003C1A94" w:rsidP="003C1A94">
      <w:pPr>
        <w:pStyle w:val="Standard"/>
        <w:rPr>
          <w:rFonts w:ascii="Bookman Old Style" w:hAnsi="Bookman Old Style"/>
          <w:b/>
          <w:color w:val="404040" w:themeColor="text1" w:themeTint="BF"/>
          <w:sz w:val="22"/>
          <w:szCs w:val="22"/>
        </w:rPr>
      </w:pPr>
      <w:r w:rsidRPr="002926E6">
        <w:rPr>
          <w:rFonts w:ascii="Bookman Old Style" w:hAnsi="Bookman Old Style"/>
          <w:b/>
          <w:color w:val="404040" w:themeColor="text1" w:themeTint="BF"/>
          <w:sz w:val="22"/>
          <w:szCs w:val="22"/>
        </w:rPr>
        <w:t xml:space="preserve">POGLĄDY. </w:t>
      </w:r>
    </w:p>
    <w:p w:rsidR="00A4537F" w:rsidRPr="002926E6" w:rsidRDefault="00A4537F" w:rsidP="003C1A94">
      <w:pPr>
        <w:pStyle w:val="Standard"/>
        <w:rPr>
          <w:rFonts w:ascii="Bookman Old Style" w:hAnsi="Bookman Old Style"/>
          <w:b/>
          <w:color w:val="404040" w:themeColor="text1" w:themeTint="BF"/>
          <w:sz w:val="22"/>
          <w:szCs w:val="22"/>
        </w:rPr>
      </w:pPr>
    </w:p>
    <w:p w:rsidR="00A4537F" w:rsidRPr="002926E6" w:rsidRDefault="00A4537F" w:rsidP="00A4537F">
      <w:pPr>
        <w:pStyle w:val="Standard"/>
        <w:rPr>
          <w:rFonts w:ascii="Bookman Old Style" w:hAnsi="Bookman Old Style"/>
          <w:color w:val="404040" w:themeColor="text1" w:themeTint="BF"/>
          <w:sz w:val="22"/>
          <w:szCs w:val="22"/>
        </w:rPr>
      </w:pPr>
      <w:r w:rsidRPr="002926E6">
        <w:rPr>
          <w:rFonts w:ascii="Bookman Old Style" w:hAnsi="Bookman Old Style"/>
          <w:b/>
          <w:color w:val="404040" w:themeColor="text1" w:themeTint="BF"/>
          <w:sz w:val="22"/>
          <w:szCs w:val="22"/>
        </w:rPr>
        <w:t>1.</w:t>
      </w:r>
      <w:r w:rsidR="003C1A94" w:rsidRPr="002926E6">
        <w:rPr>
          <w:rFonts w:ascii="Bookman Old Style" w:hAnsi="Bookman Old Style"/>
          <w:b/>
          <w:color w:val="404040" w:themeColor="text1" w:themeTint="BF"/>
          <w:sz w:val="22"/>
          <w:szCs w:val="22"/>
        </w:rPr>
        <w:t>BEZRADNOŚĆ ROZUMU.</w:t>
      </w:r>
      <w:r w:rsidR="003C1A94" w:rsidRPr="002926E6">
        <w:rPr>
          <w:rFonts w:ascii="Bookman Old Style" w:hAnsi="Bookman Old Style"/>
          <w:color w:val="404040" w:themeColor="text1" w:themeTint="BF"/>
          <w:sz w:val="22"/>
          <w:szCs w:val="22"/>
        </w:rPr>
        <w:t xml:space="preserve"> Pascal stawiał wiedzy te same wysokie wymagania, co Kartezjusz i inni racjonaliści; i on uważał geometrię za wzór wiedzy. Ale przekonał się, że te wymagania są zbyt wygórowane, że wiedza, jaką w rzeczywistości posiadamy, nie czyni im zadość. W sprawach doniosłych geometria nie da się stosować: ani nie pozwala nam poznać nieskończoności, jaka nas otacza, ani nie rozwiązuje zagadnień etycznych i religijnych. Przy rozwiązywaniu tych zagadnień kryteria Kartezjańskie - jasność i wyraźność - nie dają żadnej pomocy. Bezradność racjonalnej metody w sprawach istotnych i życiowo doniosłych Pascal nie tylko stwierdził, ale przeżył jako wewnętrzną tragedię. Że odbiegł tak daleko od Kartezjusza w zapatrywaniu na skuteczność metody naukowej, nie było przypadkiem; pochodziło stąd, że metodę tę chciał zastosować do zupełnie innej sfery zagadnień: Kartezjusz przejęty był sprawami czysto teoretycznymi, jemu zaś chodziło o sprawy doniosłe praktycznie, o szczęście i zbawienie duszy. Że zaś wzorem Kartezjusza nie rozróżniał wiedzy teoretycznej i praktycznej, więc </w:t>
      </w:r>
      <w:r w:rsidR="003C1A94" w:rsidRPr="002926E6">
        <w:rPr>
          <w:rFonts w:ascii="Bookman Old Style" w:hAnsi="Bookman Old Style"/>
          <w:color w:val="404040" w:themeColor="text1" w:themeTint="BF"/>
          <w:sz w:val="22"/>
          <w:szCs w:val="22"/>
        </w:rPr>
        <w:lastRenderedPageBreak/>
        <w:t xml:space="preserve">przekonanie o nieskuteczności wiedzy praktycznej rozciągał i na teoretyczną. Wynikło stąd potępienie wszelkiej wiedzy: wiedza jest tylko „próżnością" i „szaleństwem". Racjonalizm stawiając wiedzy niezmiernie wysokie wymagania miał dwa krańcowe ujścia: albo wiedza czyni zadość tym sprawdzianom, albo nie; w pierwszym przypadku posiadamy wiedzę absolutną, w drugim - nie posiadamy żadnej. Pierwsze ujście znalazł racjonalizm u Kartezjusza, drugie u Pascala. Sceptycyzm u Pascala wyrósł z racjonalizmu; gdyby stawiał był wiedzy tylko takie wymagania jak empiryści, którzy za wiedzę uważali już znajomość faktów, to nie miałby powodu kończyć zwątpieniem. Przyznawał bowiem, że fakty znamy, ale twierdził, że ich nie rozumiemy. Bez zrozumienia nie ma dla racjonalisty poznania. Stwierdziwszy nieudolność rozumu musiał więc dojść do przekonania, że „nie ma nic tak zgodnego z rozumem, jak wyparcie się rozumu". Wynikiem zawiedzionego racjonalizmu było zwątpienie zupełne, którego nie wyraził nikt w sposób bardziej przejmujący od Pascala. Zwątpienie bowiem nie doprowadziło go do uspokojenia, jak niegdyś </w:t>
      </w:r>
      <w:proofErr w:type="spellStart"/>
      <w:r w:rsidR="003C1A94" w:rsidRPr="002926E6">
        <w:rPr>
          <w:rFonts w:ascii="Bookman Old Style" w:hAnsi="Bookman Old Style"/>
          <w:color w:val="404040" w:themeColor="text1" w:themeTint="BF"/>
          <w:sz w:val="22"/>
          <w:szCs w:val="22"/>
        </w:rPr>
        <w:t>Pirrona</w:t>
      </w:r>
      <w:proofErr w:type="spellEnd"/>
      <w:r w:rsidR="003C1A94" w:rsidRPr="002926E6">
        <w:rPr>
          <w:rFonts w:ascii="Bookman Old Style" w:hAnsi="Bookman Old Style"/>
          <w:color w:val="404040" w:themeColor="text1" w:themeTint="BF"/>
          <w:sz w:val="22"/>
          <w:szCs w:val="22"/>
        </w:rPr>
        <w:t xml:space="preserve">, lecz doprowadziło do rozpaczy: „Nie wiem, kto mnie wydał na świat, czym jest świat, czym jestem ja sam, żyję w okropnej niewiedzy wszystkich rzeczy..." </w:t>
      </w:r>
    </w:p>
    <w:p w:rsidR="00A4537F" w:rsidRPr="002926E6" w:rsidRDefault="00A4537F" w:rsidP="00A4537F">
      <w:pPr>
        <w:pStyle w:val="Standard"/>
        <w:ind w:left="720"/>
        <w:rPr>
          <w:rFonts w:ascii="Bookman Old Style" w:hAnsi="Bookman Old Style"/>
          <w:color w:val="404040" w:themeColor="text1" w:themeTint="BF"/>
          <w:sz w:val="22"/>
          <w:szCs w:val="22"/>
        </w:rPr>
      </w:pPr>
    </w:p>
    <w:p w:rsidR="003C1A94" w:rsidRPr="002926E6" w:rsidRDefault="003C1A94" w:rsidP="003C1A94">
      <w:pPr>
        <w:pStyle w:val="Standard"/>
        <w:rPr>
          <w:rFonts w:ascii="Bookman Old Style" w:hAnsi="Bookman Old Style"/>
          <w:color w:val="404040" w:themeColor="text1" w:themeTint="BF"/>
          <w:sz w:val="22"/>
          <w:szCs w:val="22"/>
        </w:rPr>
      </w:pPr>
      <w:r w:rsidRPr="002926E6">
        <w:rPr>
          <w:rFonts w:ascii="Bookman Old Style" w:hAnsi="Bookman Old Style"/>
          <w:b/>
          <w:color w:val="404040" w:themeColor="text1" w:themeTint="BF"/>
          <w:sz w:val="22"/>
          <w:szCs w:val="22"/>
        </w:rPr>
        <w:t>2. PORZĄDEK SERCA</w:t>
      </w:r>
      <w:r w:rsidRPr="002926E6">
        <w:rPr>
          <w:rFonts w:ascii="Bookman Old Style" w:hAnsi="Bookman Old Style"/>
          <w:color w:val="404040" w:themeColor="text1" w:themeTint="BF"/>
          <w:sz w:val="22"/>
          <w:szCs w:val="22"/>
        </w:rPr>
        <w:t>. Jednakże i Pascal znalazł wyjście ze zwątpień. Ale nie przez rozum, jak Kartezjusz, lecz przez „serce" i wiarę. „Serce" - to właściwa człowiekowi zdolność poznawania rzeczy nadprzyrodzonych. Istnieje „porządek serca" (</w:t>
      </w:r>
      <w:proofErr w:type="spellStart"/>
      <w:r w:rsidRPr="002926E6">
        <w:rPr>
          <w:rFonts w:ascii="Bookman Old Style" w:hAnsi="Bookman Old Style"/>
          <w:color w:val="404040" w:themeColor="text1" w:themeTint="BF"/>
          <w:sz w:val="22"/>
          <w:szCs w:val="22"/>
        </w:rPr>
        <w:t>ordre</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du</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coeur</w:t>
      </w:r>
      <w:proofErr w:type="spellEnd"/>
      <w:r w:rsidRPr="002926E6">
        <w:rPr>
          <w:rFonts w:ascii="Bookman Old Style" w:hAnsi="Bookman Old Style"/>
          <w:color w:val="404040" w:themeColor="text1" w:themeTint="BF"/>
          <w:sz w:val="22"/>
          <w:szCs w:val="22"/>
        </w:rPr>
        <w:t xml:space="preserve">), różny od porządku rozumu, który uczeni skłonni są uważać za jedyny. „Serce ma swoje racje, których rozum nie zna" (Le </w:t>
      </w:r>
      <w:proofErr w:type="spellStart"/>
      <w:r w:rsidRPr="002926E6">
        <w:rPr>
          <w:rFonts w:ascii="Bookman Old Style" w:hAnsi="Bookman Old Style"/>
          <w:color w:val="404040" w:themeColor="text1" w:themeTint="BF"/>
          <w:sz w:val="22"/>
          <w:szCs w:val="22"/>
        </w:rPr>
        <w:t>coeur</w:t>
      </w:r>
      <w:proofErr w:type="spellEnd"/>
      <w:r w:rsidRPr="002926E6">
        <w:rPr>
          <w:rFonts w:ascii="Bookman Old Style" w:hAnsi="Bookman Old Style"/>
          <w:color w:val="404040" w:themeColor="text1" w:themeTint="BF"/>
          <w:sz w:val="22"/>
          <w:szCs w:val="22"/>
        </w:rPr>
        <w:t xml:space="preserve"> a </w:t>
      </w:r>
      <w:proofErr w:type="spellStart"/>
      <w:r w:rsidRPr="002926E6">
        <w:rPr>
          <w:rFonts w:ascii="Bookman Old Style" w:hAnsi="Bookman Old Style"/>
          <w:color w:val="404040" w:themeColor="text1" w:themeTint="BF"/>
          <w:sz w:val="22"/>
          <w:szCs w:val="22"/>
        </w:rPr>
        <w:t>ses</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raisons</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ąue</w:t>
      </w:r>
      <w:proofErr w:type="spellEnd"/>
      <w:r w:rsidRPr="002926E6">
        <w:rPr>
          <w:rFonts w:ascii="Bookman Old Style" w:hAnsi="Bookman Old Style"/>
          <w:color w:val="404040" w:themeColor="text1" w:themeTint="BF"/>
          <w:sz w:val="22"/>
          <w:szCs w:val="22"/>
        </w:rPr>
        <w:t xml:space="preserve"> la </w:t>
      </w:r>
      <w:proofErr w:type="spellStart"/>
      <w:r w:rsidRPr="002926E6">
        <w:rPr>
          <w:rFonts w:ascii="Bookman Old Style" w:hAnsi="Bookman Old Style"/>
          <w:color w:val="404040" w:themeColor="text1" w:themeTint="BF"/>
          <w:sz w:val="22"/>
          <w:szCs w:val="22"/>
        </w:rPr>
        <w:t>raison</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ne</w:t>
      </w:r>
      <w:proofErr w:type="spellEnd"/>
      <w:r w:rsidRPr="002926E6">
        <w:rPr>
          <w:rFonts w:ascii="Bookman Old Style" w:hAnsi="Bookman Old Style"/>
          <w:color w:val="404040" w:themeColor="text1" w:themeTint="BF"/>
          <w:sz w:val="22"/>
          <w:szCs w:val="22"/>
        </w:rPr>
        <w:t xml:space="preserve"> </w:t>
      </w:r>
      <w:proofErr w:type="spellStart"/>
      <w:r w:rsidRPr="002926E6">
        <w:rPr>
          <w:rFonts w:ascii="Bookman Old Style" w:hAnsi="Bookman Old Style"/>
          <w:color w:val="404040" w:themeColor="text1" w:themeTint="BF"/>
          <w:sz w:val="22"/>
          <w:szCs w:val="22"/>
        </w:rPr>
        <w:t>connait</w:t>
      </w:r>
      <w:proofErr w:type="spellEnd"/>
      <w:r w:rsidRPr="002926E6">
        <w:rPr>
          <w:rFonts w:ascii="Bookman Old Style" w:hAnsi="Bookman Old Style"/>
          <w:color w:val="404040" w:themeColor="text1" w:themeTint="BF"/>
          <w:sz w:val="22"/>
          <w:szCs w:val="22"/>
        </w:rPr>
        <w:t xml:space="preserve"> pas). Sceptycyzm, „pirronizm", nie był dlań tedy wynikiem ostatecznym: był etapem do uznania uczuciowej natury poznania, mistycznej intuicji. Co więcej, był etapem do poddania się wierze i autorytetowi religijnemu. „Ogłupi cię wiara? - Przypuśćmy, ale cóż masz do stracenia?" To jedyna możliwa droga, skoro wiadomo, że rozum niezdolny jest do poznania. Podobnie jak w XIV w., tak i tu sceptycyzm był na usługach mistycyzmu i fideizmu. „Trzeba być geometrą, </w:t>
      </w:r>
      <w:proofErr w:type="spellStart"/>
      <w:r w:rsidRPr="002926E6">
        <w:rPr>
          <w:rFonts w:ascii="Bookman Old Style" w:hAnsi="Bookman Old Style"/>
          <w:color w:val="404040" w:themeColor="text1" w:themeTint="BF"/>
          <w:sz w:val="22"/>
          <w:szCs w:val="22"/>
        </w:rPr>
        <w:t>pirronistą</w:t>
      </w:r>
      <w:proofErr w:type="spellEnd"/>
      <w:r w:rsidRPr="002926E6">
        <w:rPr>
          <w:rFonts w:ascii="Bookman Old Style" w:hAnsi="Bookman Old Style"/>
          <w:color w:val="404040" w:themeColor="text1" w:themeTint="BF"/>
          <w:sz w:val="22"/>
          <w:szCs w:val="22"/>
        </w:rPr>
        <w:t xml:space="preserve"> i pokornym chrześcijaninem" - pisał Pascal, tj. trzeba 1° stawiać, wiedzy wysokie wymagania, 2° przekonać się, że rozum nie może im sprostać, a wtedy 3° poddać się objawieniu. W związku z tym był szczególny dowód istnienia Boga, skonstruowany przez Pascala dowód, w którym matematyk argumentował wespół ze sceptykiem. Albo Bóg jest, albo go nie ma: jedno z dwojga musimy przyjąć, decyzja jest nieuchronna, boć albo żyć będziemy z Bogiem, albo bez Niego. Otóż Pascal nie próbował dowieść, że istnienie Boga jest pewne, ani nawet, o ile jest prawdopodobne; natomiast 46 próbował obliczyć, o ile uznanie go jest dla człowieka zyskowniejsze. Przyjęcie istnienia Boga jest z naszej strony, jak mówi Pascal, hazardem i całe to rozumowanie znane jest pod nazwą „zakładu Pascala" (le </w:t>
      </w:r>
      <w:proofErr w:type="spellStart"/>
      <w:r w:rsidRPr="002926E6">
        <w:rPr>
          <w:rFonts w:ascii="Bookman Old Style" w:hAnsi="Bookman Old Style"/>
          <w:color w:val="404040" w:themeColor="text1" w:themeTint="BF"/>
          <w:sz w:val="22"/>
          <w:szCs w:val="22"/>
        </w:rPr>
        <w:t>pari</w:t>
      </w:r>
      <w:proofErr w:type="spellEnd"/>
      <w:r w:rsidRPr="002926E6">
        <w:rPr>
          <w:rFonts w:ascii="Bookman Old Style" w:hAnsi="Bookman Old Style"/>
          <w:color w:val="404040" w:themeColor="text1" w:themeTint="BF"/>
          <w:sz w:val="22"/>
          <w:szCs w:val="22"/>
        </w:rPr>
        <w:t xml:space="preserve"> de Pascal). Stawiając na istnienie Boga, ryzykujemy niewiele, bo tylko jedno doczesne życie; jeśli zaś okaże się, iż mamy rację, to zyskamy - wieczne życie i szczęście. Założeniem było tu, że Bóg nagradza wiarę, a karze niewiernych. Był to szczególny dowód istnienia Boga, probabilistyczny i eudajmonistyczny, bo opierający się w rozumowaniu na prawdopodobieństwie i na oczekiwaniu szczęścia. Ściśle mówiąc, nie był dowodem istnienia Boga, lecz co najwyżej dowodem, że należy tak żyć, jak gdyby istniał.</w:t>
      </w:r>
    </w:p>
    <w:p w:rsidR="00A4537F" w:rsidRDefault="00A4537F" w:rsidP="003C1A94">
      <w:pPr>
        <w:pStyle w:val="Standard"/>
        <w:rPr>
          <w:rFonts w:ascii="Bookman Old Style" w:hAnsi="Bookman Old Style"/>
          <w:color w:val="404040" w:themeColor="text1" w:themeTint="BF"/>
          <w:sz w:val="22"/>
          <w:szCs w:val="22"/>
        </w:rPr>
      </w:pPr>
    </w:p>
    <w:p w:rsidR="002926E6" w:rsidRDefault="002926E6" w:rsidP="003C1A94">
      <w:pPr>
        <w:pStyle w:val="Standard"/>
        <w:rPr>
          <w:rFonts w:ascii="Bookman Old Style" w:hAnsi="Bookman Old Style"/>
          <w:color w:val="404040" w:themeColor="text1" w:themeTint="BF"/>
          <w:sz w:val="22"/>
          <w:szCs w:val="22"/>
        </w:rPr>
      </w:pPr>
    </w:p>
    <w:p w:rsidR="002926E6" w:rsidRDefault="002926E6" w:rsidP="003C1A94">
      <w:pPr>
        <w:pStyle w:val="Standard"/>
        <w:rPr>
          <w:rFonts w:ascii="Bookman Old Style" w:hAnsi="Bookman Old Style"/>
          <w:color w:val="404040" w:themeColor="text1" w:themeTint="BF"/>
          <w:sz w:val="22"/>
          <w:szCs w:val="22"/>
        </w:rPr>
      </w:pPr>
    </w:p>
    <w:p w:rsidR="002926E6" w:rsidRDefault="002926E6" w:rsidP="003C1A94">
      <w:pPr>
        <w:pStyle w:val="Standard"/>
        <w:rPr>
          <w:rFonts w:ascii="Bookman Old Style" w:hAnsi="Bookman Old Style"/>
          <w:color w:val="404040" w:themeColor="text1" w:themeTint="BF"/>
          <w:sz w:val="22"/>
          <w:szCs w:val="22"/>
        </w:rPr>
      </w:pPr>
    </w:p>
    <w:p w:rsidR="002926E6" w:rsidRDefault="002926E6" w:rsidP="003C1A94">
      <w:pPr>
        <w:pStyle w:val="Standard"/>
        <w:rPr>
          <w:rFonts w:ascii="Bookman Old Style" w:hAnsi="Bookman Old Style"/>
          <w:color w:val="404040" w:themeColor="text1" w:themeTint="BF"/>
          <w:sz w:val="22"/>
          <w:szCs w:val="22"/>
        </w:rPr>
      </w:pPr>
    </w:p>
    <w:p w:rsidR="002926E6" w:rsidRDefault="002926E6" w:rsidP="003C1A94">
      <w:pPr>
        <w:pStyle w:val="Standard"/>
        <w:rPr>
          <w:rFonts w:ascii="Bookman Old Style" w:hAnsi="Bookman Old Style"/>
          <w:color w:val="404040" w:themeColor="text1" w:themeTint="BF"/>
          <w:sz w:val="22"/>
          <w:szCs w:val="22"/>
        </w:rPr>
      </w:pPr>
    </w:p>
    <w:p w:rsidR="002926E6" w:rsidRPr="002926E6" w:rsidRDefault="002926E6" w:rsidP="003C1A94">
      <w:pPr>
        <w:pStyle w:val="Standard"/>
        <w:rPr>
          <w:rFonts w:ascii="Bookman Old Style" w:hAnsi="Bookman Old Style"/>
          <w:color w:val="404040" w:themeColor="text1" w:themeTint="BF"/>
          <w:sz w:val="22"/>
          <w:szCs w:val="22"/>
        </w:rPr>
      </w:pPr>
    </w:p>
    <w:p w:rsidR="00A4537F" w:rsidRPr="002926E6" w:rsidRDefault="00A4537F" w:rsidP="003C1A94">
      <w:pPr>
        <w:pStyle w:val="Standard"/>
        <w:rPr>
          <w:rFonts w:ascii="Bookman Old Style" w:hAnsi="Bookman Old Style"/>
          <w:color w:val="404040" w:themeColor="text1" w:themeTint="BF"/>
          <w:sz w:val="22"/>
          <w:szCs w:val="22"/>
        </w:rPr>
      </w:pPr>
    </w:p>
    <w:p w:rsidR="003C1A94" w:rsidRPr="002926E6" w:rsidRDefault="003C1A94" w:rsidP="003C1A94">
      <w:pPr>
        <w:pStyle w:val="Standard"/>
        <w:rPr>
          <w:rFonts w:ascii="Bookman Old Style" w:hAnsi="Bookman Old Style"/>
          <w:color w:val="404040" w:themeColor="text1" w:themeTint="BF"/>
          <w:sz w:val="22"/>
          <w:szCs w:val="22"/>
        </w:rPr>
      </w:pPr>
      <w:r w:rsidRPr="002926E6">
        <w:rPr>
          <w:rFonts w:ascii="Bookman Old Style" w:hAnsi="Bookman Old Style"/>
          <w:color w:val="404040" w:themeColor="text1" w:themeTint="BF"/>
          <w:sz w:val="22"/>
          <w:szCs w:val="22"/>
        </w:rPr>
        <w:lastRenderedPageBreak/>
        <w:t xml:space="preserve"> </w:t>
      </w:r>
      <w:r w:rsidRPr="002926E6">
        <w:rPr>
          <w:rFonts w:ascii="Bookman Old Style" w:hAnsi="Bookman Old Style"/>
          <w:b/>
          <w:color w:val="404040" w:themeColor="text1" w:themeTint="BF"/>
          <w:sz w:val="22"/>
          <w:szCs w:val="22"/>
        </w:rPr>
        <w:t>3. PORZĄDEK DÓBR.</w:t>
      </w:r>
      <w:r w:rsidRPr="002926E6">
        <w:rPr>
          <w:rFonts w:ascii="Bookman Old Style" w:hAnsi="Bookman Old Style"/>
          <w:color w:val="404040" w:themeColor="text1" w:themeTint="BF"/>
          <w:sz w:val="22"/>
          <w:szCs w:val="22"/>
        </w:rPr>
        <w:t xml:space="preserve"> Pascal przejął nie tylko w metodologii, lecz w metafizyce zasadnicze pozycje kartezjanizmu. Ale potraktował je z innego punktu widzenia: z punktu widzenia moralisty. Oddzielał, równie stanowczo jak Kartezjusz, Boga od stworzenia, a świadomość od materii, ale były to dlań nie tyle różne rodzaje bytu, ile różne dobra, nie tyle przedmioty poznania, ile wyboru. I substancje, oddzielone przez Kartezjusza, gdy je Pascal począł traktować jako przedmioty wyboru, utworzyły hierarchię: za najniższą z substancji uznana została materia, za wyższą dusza, za najwyższą Bóg. Szczeble tej hierarchii, jak substancje Kartezjusza, były toto genere różne i wiecznie wzajem oddzielone. Wedle Pascala, dobra materialne nigdy, przy żadnym ich mnożeniu, nie dosięgną poziomu dóbr duchowych: „Wszystkie ciała, firmament, gwiazdy, Ziemia i jej królestwo nie są warte najmniejszego z duchów". Przewaga ducha nad ciałem jest nieskończona. A równie znów nieskończona jest przewaga nadprzyrodzonego, boskiego porządku nad przyrodzonym; nadprzyrodzony porządek objawia się na ziemi w miłości, toteż „wszystkie ciała razem wzięte i wszystkie duchy razem wzięte, i wszystkie ich utwory nie są warte najmniejszego poruszenia miłości". Operując, jak Kartezjusz, pojęciem nieskończoności i przez nie odróżniając Boga i stworzenie, doszedł do przekonania, że wobec wartości rzeczy boskich, która jest nieskończenie wielka, wartość rzeczy doczesnych jest nieskończenie mała, więc - rzeczy doczesne są zupełnie znikome i bezwartościowe. To była podstawa do rozegrania „zakładu Pascala" i do zdecydowania, jak pokierować życiem. Wynikło stąd, że jedynie rozsądna jest etyka służby bożej: „Dwa są tylko rodzaje osób, które można nazwać rozsądnymi: te, które służą Bogu z całego serca, bowiem Go znają, lub też te, które Go z całego serca szukają, bowiem Go nie znają". Jest rzeczą uderzającą, że kartezjanizm zastosowany przez religijnego myśliciela, jakim był Pascal, doprowadził do wyników daleko bardziej krańcowych w swym ascetyzmie niż scholastyka. Gdy scholastycy na ogół pojmowali świat jako twór Boży i noszący znamię boskiego pochodzenia, ten nowożytny myśliciel uznał go za zupełną nicość.</w:t>
      </w:r>
    </w:p>
    <w:p w:rsidR="00A4537F" w:rsidRPr="002926E6" w:rsidRDefault="00A4537F" w:rsidP="003C1A94">
      <w:pPr>
        <w:pStyle w:val="Standard"/>
        <w:rPr>
          <w:rFonts w:ascii="Bookman Old Style" w:hAnsi="Bookman Old Style"/>
          <w:color w:val="404040" w:themeColor="text1" w:themeTint="BF"/>
          <w:sz w:val="22"/>
          <w:szCs w:val="22"/>
        </w:rPr>
      </w:pPr>
    </w:p>
    <w:p w:rsidR="003C1A94" w:rsidRPr="002926E6" w:rsidRDefault="003C1A94" w:rsidP="003C1A94">
      <w:pPr>
        <w:pStyle w:val="Standard"/>
        <w:rPr>
          <w:rFonts w:ascii="Bookman Old Style" w:hAnsi="Bookman Old Style"/>
          <w:color w:val="404040" w:themeColor="text1" w:themeTint="BF"/>
          <w:sz w:val="22"/>
          <w:szCs w:val="22"/>
        </w:rPr>
      </w:pPr>
      <w:r w:rsidRPr="002926E6">
        <w:rPr>
          <w:rFonts w:ascii="Bookman Old Style" w:hAnsi="Bookman Old Style"/>
          <w:b/>
          <w:color w:val="404040" w:themeColor="text1" w:themeTint="BF"/>
          <w:sz w:val="22"/>
          <w:szCs w:val="22"/>
        </w:rPr>
        <w:t xml:space="preserve"> 4. WIELKOŚĆ i NICOŚĆ CZŁOWIEKA</w:t>
      </w:r>
      <w:r w:rsidRPr="002926E6">
        <w:rPr>
          <w:rFonts w:ascii="Bookman Old Style" w:hAnsi="Bookman Old Style"/>
          <w:color w:val="404040" w:themeColor="text1" w:themeTint="BF"/>
          <w:sz w:val="22"/>
          <w:szCs w:val="22"/>
        </w:rPr>
        <w:t xml:space="preserve">. Człowiek jest tym stworzeniem, w którym spotykają się wszystkie szczeble hierarchii. Składa się z dwóch składników - ciała i myśli, z których jeden jest nieskończenie cenniejszy od drugiego. „Człowiek jest trzciną najsłabszą w przyrodzie, ale to trzcina myśląca. Dla zgniecenia go nie trzeba, aby się cały świat zbroił. Nieco mgły, kropla wody starczy, by go zabić. Lecz niechby był zgnieciony przez wszechświat cały, to jeszcze byłby czymś szlachetniejszym od tego, co go zabija: gdyż on wie, że umiera, i zna przewagę, jaką wszechświat ma nad nim. A świat nie wie o tym nic. Cała tedy godność nasza leży w myśli..." Co więcej, człowiekowi dana bywa łaska, nadprzyrodzona miłość, która należy do porządku boskiego. Więc też „człowiek jest podzielony i sam sobie przeciwny", wielkość jego jest równa jego nędzy. </w:t>
      </w:r>
      <w:proofErr w:type="spellStart"/>
      <w:r w:rsidRPr="002926E6">
        <w:rPr>
          <w:rFonts w:ascii="Bookman Old Style" w:hAnsi="Bookman Old Style"/>
          <w:color w:val="404040" w:themeColor="text1" w:themeTint="BF"/>
          <w:sz w:val="22"/>
          <w:szCs w:val="22"/>
        </w:rPr>
        <w:t>Pirroniści</w:t>
      </w:r>
      <w:proofErr w:type="spellEnd"/>
      <w:r w:rsidRPr="002926E6">
        <w:rPr>
          <w:rFonts w:ascii="Bookman Old Style" w:hAnsi="Bookman Old Style"/>
          <w:color w:val="404040" w:themeColor="text1" w:themeTint="BF"/>
          <w:sz w:val="22"/>
          <w:szCs w:val="22"/>
        </w:rPr>
        <w:t xml:space="preserve"> mieli tedy podstawę do głoszenia nędzy człowieka; mieli ją również stoicy, gdy głosili wielkość człowieka; ale obie sekty są jednostronne. </w:t>
      </w:r>
    </w:p>
    <w:p w:rsidR="003C1A94" w:rsidRDefault="003C1A94"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2926E6" w:rsidRDefault="002926E6" w:rsidP="003C1A94">
      <w:pPr>
        <w:rPr>
          <w:rFonts w:ascii="Bookman Old Style" w:hAnsi="Bookman Old Style"/>
          <w:color w:val="404040" w:themeColor="text1" w:themeTint="BF"/>
        </w:rPr>
      </w:pPr>
    </w:p>
    <w:p w:rsidR="00A4537F" w:rsidRPr="002926E6" w:rsidRDefault="00A4537F" w:rsidP="003C1A94">
      <w:pPr>
        <w:rPr>
          <w:rFonts w:ascii="Bookman Old Style" w:hAnsi="Bookman Old Style"/>
          <w:b/>
          <w:color w:val="404040" w:themeColor="text1" w:themeTint="BF"/>
        </w:rPr>
      </w:pPr>
      <w:r w:rsidRPr="002926E6">
        <w:rPr>
          <w:rFonts w:ascii="Bookman Old Style" w:hAnsi="Bookman Old Style"/>
          <w:b/>
          <w:color w:val="404040" w:themeColor="text1" w:themeTint="BF"/>
        </w:rPr>
        <w:lastRenderedPageBreak/>
        <w:t>LEIBNIZ</w:t>
      </w:r>
    </w:p>
    <w:p w:rsidR="00A4537F" w:rsidRPr="002926E6" w:rsidRDefault="00A4537F" w:rsidP="003C1A94">
      <w:pPr>
        <w:rPr>
          <w:rFonts w:ascii="Bookman Old Style" w:hAnsi="Bookman Old Style"/>
          <w:b/>
          <w:color w:val="404040" w:themeColor="text1" w:themeTint="BF"/>
        </w:rPr>
      </w:pPr>
      <w:r w:rsidRPr="002926E6">
        <w:rPr>
          <w:rFonts w:ascii="Bookman Old Style" w:hAnsi="Bookman Old Style"/>
          <w:b/>
          <w:color w:val="404040" w:themeColor="text1" w:themeTint="BF"/>
        </w:rPr>
        <w:t xml:space="preserve">POGLĄDY LEIBNIZA </w:t>
      </w:r>
    </w:p>
    <w:p w:rsidR="00A4537F" w:rsidRPr="002926E6" w:rsidRDefault="00A4537F" w:rsidP="00A4537F">
      <w:pPr>
        <w:rPr>
          <w:rFonts w:ascii="Bookman Old Style" w:hAnsi="Bookman Old Style"/>
          <w:b/>
          <w:color w:val="404040" w:themeColor="text1" w:themeTint="BF"/>
        </w:rPr>
      </w:pPr>
      <w:r w:rsidRPr="002926E6">
        <w:rPr>
          <w:rFonts w:ascii="Bookman Old Style" w:hAnsi="Bookman Old Style"/>
          <w:b/>
          <w:color w:val="404040" w:themeColor="text1" w:themeTint="BF"/>
        </w:rPr>
        <w:t>1.</w:t>
      </w:r>
      <w:r w:rsidRPr="002926E6">
        <w:rPr>
          <w:rFonts w:ascii="Bookman Old Style" w:hAnsi="Bookman Old Style"/>
          <w:b/>
          <w:color w:val="404040" w:themeColor="text1" w:themeTint="BF"/>
        </w:rPr>
        <w:t>METAFIZYKA.</w:t>
      </w:r>
    </w:p>
    <w:p w:rsidR="00A4537F" w:rsidRPr="002926E6" w:rsidRDefault="00A4537F" w:rsidP="00A4537F">
      <w:pPr>
        <w:rPr>
          <w:rFonts w:ascii="Bookman Old Style" w:hAnsi="Bookman Old Style"/>
          <w:color w:val="404040" w:themeColor="text1" w:themeTint="BF"/>
        </w:rPr>
      </w:pPr>
      <w:r w:rsidRPr="002926E6">
        <w:rPr>
          <w:rFonts w:ascii="Bookman Old Style" w:hAnsi="Bookman Old Style"/>
          <w:color w:val="404040" w:themeColor="text1" w:themeTint="BF"/>
        </w:rPr>
        <w:t xml:space="preserve"> Naczelnym zagadnieniem XVII wieku było zagadnienie substancji. Zapoczątkował je Kartezjusz twierdząc, iż istnieją dwie różne substancje, cielesna i duchowa</w:t>
      </w:r>
      <w:r w:rsidRPr="002926E6">
        <w:rPr>
          <w:rFonts w:ascii="Bookman Old Style" w:hAnsi="Bookman Old Style"/>
          <w:color w:val="404040" w:themeColor="text1" w:themeTint="BF"/>
        </w:rPr>
        <w:t>. Zawikłał się przy tym w</w:t>
      </w:r>
      <w:r w:rsidRPr="002926E6">
        <w:rPr>
          <w:rFonts w:ascii="Bookman Old Style" w:hAnsi="Bookman Old Style"/>
          <w:color w:val="404040" w:themeColor="text1" w:themeTint="BF"/>
        </w:rPr>
        <w:t xml:space="preserve"> trudności, nie umiejąc wyjaśnić, jak dwie tak różne od siebie substancje, rozciągła i nierozciągła, mogą wzajem na siebie działać. Następcy jego szukali dla tej trudności rozwiązania. Okazjonaliści twierdzili, że dwie substancje nie działają na siebie i działać nie potrzebują, bo Bóg to za nie czyni. Spinoza wywodził, że to, co Kartezjusz brał za dwie substancje, to były tylko dwa przymioty tej samej substancji, mianowicie Boga. Hobbes zaś mówił, że nie ma dwu substancji, są tylko substancje jednego rodzaju, mianowicie materialne. Leibniz wystąpił z jeszcze innym rozwiązaniem. Było w duchu indywidualizmu i pluralizmu: przyjmował nieograniczoną ilość substancji. Jednakże twierdził, że wszystkie są jednego rodzaju. Pod tym względem podobny był do Hobbesa. Ale zarazem był jego przeciwieństwem: bo gdy tamten przyjmował jedynie substancje materialne, to ten twierdził że materialnych właśnie nie ma. Przyjmował, że każde zjawisko jest indywidualne, każde różni się od każdego innego, nie ma dwóch liści ani dwóch kropel wody, które byłyby do siebie zupełnie podobne. Wbrew rozpowszechnionemu poglądowi atomistów, nie ma dwóch rzeczy, które by różniły się tylko miejscem zajmowanym w przestrzeni, a poza tym były identyczne. Wszelako zjawiska, jakkolwiek różnią się między sobą, są sobie bliskie, gdy zaś nie są dość bliskie, to znajdą się zawsze zjawiska między nimi pośrednie. Nie ma w przyrodzie skoków, są tylko przejścia. Zjawiska stanowią szeregi ciągłe. Np. między różnymi rodzajami ruchów przejścia są ciągłe, a spokój jest tylko krańcowym punktem w szeregu ruchów coraz to drobniejszych. Podobnie linia prosta jest krańcowym wypadkiem linii krzywych, a równość - nierówności. Podobnie nieświadomość jest tylko najniższym szczeblem świadomości, fałsz jest najmniejszą prawdą, a zło najmniejszym dobrem. Wszędzie we wszechświecie panuje ciągłość, każde zjawisko jest przejściem między innymi zjawiskami. Ten stan rzeczy Leibniz sformułował jako prawo ciągłości (lex </w:t>
      </w:r>
      <w:proofErr w:type="spellStart"/>
      <w:r w:rsidRPr="002926E6">
        <w:rPr>
          <w:rFonts w:ascii="Bookman Old Style" w:hAnsi="Bookman Old Style"/>
          <w:color w:val="404040" w:themeColor="text1" w:themeTint="BF"/>
        </w:rPr>
        <w:t>continui</w:t>
      </w:r>
      <w:proofErr w:type="spellEnd"/>
      <w:r w:rsidRPr="002926E6">
        <w:rPr>
          <w:rFonts w:ascii="Bookman Old Style" w:hAnsi="Bookman Old Style"/>
          <w:color w:val="404040" w:themeColor="text1" w:themeTint="BF"/>
        </w:rPr>
        <w:t xml:space="preserve">). Prawo to pozwalało mu łączyć zjawiska w szeregi i sprowadzać do jedności przeciwieństwa, nawet przeciwieństwo materii i ducha. Najciekawsze były zastosowania tego prawa na polu psychologii i matematyki. W imię jego przyjmował, że życie psychiczne posiada całą skalę stopni, aż do postaci tak słabej, że już nieświadomej; przez to wprowadzał do psychologii nieświadome stany psychiczne. W jego również imię, uzupełniając dotychczasową matematykę, która uwzględniała jedynie wielkości nieciągłe, rozpoczął budowę matematyki wielkości ciągłych na podstawie liczb nieskończenie małych. Prawo to i w ogóle przekonanie o mnogości, indywidualności, a zarazem ciągłości natury miało też doniosłe znaczenie dla metafizyki Leibniza. </w:t>
      </w: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A4537F" w:rsidRPr="002926E6"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lastRenderedPageBreak/>
        <w:t xml:space="preserve">Daje się ono sformułować w następujących tezach: </w:t>
      </w:r>
    </w:p>
    <w:p w:rsidR="00CB7240" w:rsidRPr="002926E6" w:rsidRDefault="00A4537F" w:rsidP="00A4537F">
      <w:pPr>
        <w:rPr>
          <w:rFonts w:ascii="Bookman Old Style" w:hAnsi="Bookman Old Style"/>
          <w:color w:val="404040" w:themeColor="text1" w:themeTint="BF"/>
        </w:rPr>
      </w:pPr>
      <w:r w:rsidRPr="002926E6">
        <w:rPr>
          <w:rFonts w:ascii="Bookman Old Style" w:hAnsi="Bookman Old Style"/>
          <w:color w:val="404040" w:themeColor="text1" w:themeTint="BF"/>
        </w:rPr>
        <w:t>1</w:t>
      </w:r>
      <w:r w:rsidRPr="002926E6">
        <w:rPr>
          <w:rFonts w:ascii="Bookman Old Style" w:hAnsi="Bookman Old Style"/>
          <w:b/>
          <w:color w:val="404040" w:themeColor="text1" w:themeTint="BF"/>
        </w:rPr>
        <w:t>. SUBSTANCJI JEST WIELE</w:t>
      </w:r>
      <w:r w:rsidRPr="002926E6">
        <w:rPr>
          <w:rFonts w:ascii="Bookman Old Style" w:hAnsi="Bookman Old Style"/>
          <w:color w:val="404040" w:themeColor="text1" w:themeTint="BF"/>
        </w:rPr>
        <w:t xml:space="preserve">. Z jednej bowiem substancji nie mogłaby się wytworzyć mnogość rzeczy. W tym poglądzie wyrażał się pluralizm metafizyczny Leibniza, przekonanie, że mnogość zjawisk musi mieć źródło w samej naturze bytu. Z tego stanowiska przeciwstawiał się wszelkiemu monizmowi, w szczególności temu, który współcześnie z nim głosił Spinoza. </w:t>
      </w:r>
    </w:p>
    <w:p w:rsidR="00CB7240"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t>2. SUBSTANCJE SĄ JAKOŚCIOWO ODRĘBNE</w:t>
      </w:r>
      <w:r w:rsidRPr="002926E6">
        <w:rPr>
          <w:rFonts w:ascii="Bookman Old Style" w:hAnsi="Bookman Old Style"/>
          <w:color w:val="404040" w:themeColor="text1" w:themeTint="BF"/>
        </w:rPr>
        <w:t xml:space="preserve">. Inaczej niewytłumaczalna byłaby różnorodność rzeczy. Ten pogląd Leibniza przeciwstawia się czysto ilościowej koncepcji świata, wyznawanej przez filozofię mechanistyczną. Substancje są indywidualne, każda ma swój odrębny charakter. Naturę substancji łatwiej jest zrozumieć na podobieństwo osób niż na podobieństwo rzeczy, osoby bowiem wyraźniej posiadają cechy indywidualne. Leibniz mniemał nawet, że jeśli dwie rzeczy są tak do siebie podobne, iż nie sposób znaleźć wyróżniających je własności, to nie są dwiema rzeczami, lecz jedną i tą samą (zasadę tę nazwał principium </w:t>
      </w:r>
      <w:proofErr w:type="spellStart"/>
      <w:r w:rsidRPr="002926E6">
        <w:rPr>
          <w:rFonts w:ascii="Bookman Old Style" w:hAnsi="Bookman Old Style"/>
          <w:color w:val="404040" w:themeColor="text1" w:themeTint="BF"/>
        </w:rPr>
        <w:t>identitatis</w:t>
      </w:r>
      <w:proofErr w:type="spellEnd"/>
      <w:r w:rsidRPr="002926E6">
        <w:rPr>
          <w:rFonts w:ascii="Bookman Old Style" w:hAnsi="Bookman Old Style"/>
          <w:color w:val="404040" w:themeColor="text1" w:themeTint="BF"/>
        </w:rPr>
        <w:t xml:space="preserve"> </w:t>
      </w:r>
      <w:proofErr w:type="spellStart"/>
      <w:r w:rsidRPr="002926E6">
        <w:rPr>
          <w:rFonts w:ascii="Bookman Old Style" w:hAnsi="Bookman Old Style"/>
          <w:color w:val="404040" w:themeColor="text1" w:themeTint="BF"/>
        </w:rPr>
        <w:t>indiscernibilium</w:t>
      </w:r>
      <w:proofErr w:type="spellEnd"/>
      <w:r w:rsidRPr="002926E6">
        <w:rPr>
          <w:rFonts w:ascii="Bookman Old Style" w:hAnsi="Bookman Old Style"/>
          <w:color w:val="404040" w:themeColor="text1" w:themeTint="BF"/>
        </w:rPr>
        <w:t xml:space="preserve">). Indywidualne substancje, z których składa się prawdziwy byt, Leibniz (świadom swojego związku z Arystotelesem) nazywał „entelechiami"; ale częściej, dla zaznaczenia, że są jednostkami prostymi, zwał je „monadami" (zaczerpnąwszy termin ten od Giordana Bruna). Stąd też swą metafizykę nazywał „monadologią". Monady były dlań nierozdzielnymi składnikami świata, „punktami metafizycznymi", „prawdziwymi atomami". </w:t>
      </w:r>
    </w:p>
    <w:p w:rsidR="002926E6" w:rsidRPr="002926E6" w:rsidRDefault="002926E6" w:rsidP="00A4537F">
      <w:pPr>
        <w:rPr>
          <w:rFonts w:ascii="Bookman Old Style" w:hAnsi="Bookman Old Style"/>
          <w:color w:val="404040" w:themeColor="text1" w:themeTint="BF"/>
        </w:rPr>
      </w:pPr>
    </w:p>
    <w:p w:rsidR="006B49E1" w:rsidRPr="002926E6"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t xml:space="preserve">3. SUBSTANCJE NIE DZIAŁAJĄ JEDNA NA DRUGĄ. </w:t>
      </w:r>
      <w:r w:rsidRPr="002926E6">
        <w:rPr>
          <w:rFonts w:ascii="Bookman Old Style" w:hAnsi="Bookman Old Style"/>
          <w:color w:val="404040" w:themeColor="text1" w:themeTint="BF"/>
        </w:rPr>
        <w:t>Skąd pochodzą własności substancji? Czy przyczyna ich jest zewnątrz, czy wewnątrz substancji? Jak okazjonaliści, Leibniz uważał za niepojęte i niemożliwe, by substancja mogła ulegać działaniu z zewnątrz i sama działać na zewnątrz. „Monada nie ma okien", jak mówił; każda monada jest zamkniętym kosmosem. Natomiast, wytworzywszy pojęcie substancji na wzór osoby ludzkiej, Leibniz uważał za zrozumiałe, że substancja rozwija samorzutną działalność, nie pobudzana z zewnątrz. Ponieważ jest zamkniętym kosmosem, więc tylko w jej własnej działalności mogą mieć źródło przemiany, jakim podlega</w:t>
      </w:r>
      <w:r w:rsidR="006B49E1" w:rsidRPr="002926E6">
        <w:rPr>
          <w:rFonts w:ascii="Bookman Old Style" w:hAnsi="Bookman Old Style"/>
          <w:color w:val="404040" w:themeColor="text1" w:themeTint="BF"/>
        </w:rPr>
        <w:t xml:space="preserve">, i własności, jakie osiąga. </w:t>
      </w:r>
    </w:p>
    <w:p w:rsidR="00CB7240" w:rsidRPr="002926E6"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t>4. SUBSTANCJE SĄ OBDARZONE SIŁAMI</w:t>
      </w:r>
      <w:r w:rsidRPr="002926E6">
        <w:rPr>
          <w:rFonts w:ascii="Bookman Old Style" w:hAnsi="Bookman Old Style"/>
          <w:color w:val="404040" w:themeColor="text1" w:themeTint="BF"/>
        </w:rPr>
        <w:t xml:space="preserve">. Skoro tak jest, to substancja musi rozporządzać siłą, czyli zdolnością przetwarzania się; nie może być bierną masą, za jaką mechaniści mieli materialną substancję. W ten sposób Leibniz doszedł do </w:t>
      </w:r>
      <w:proofErr w:type="spellStart"/>
      <w:r w:rsidRPr="002926E6">
        <w:rPr>
          <w:rFonts w:ascii="Bookman Old Style" w:hAnsi="Bookman Old Style"/>
          <w:color w:val="404040" w:themeColor="text1" w:themeTint="BF"/>
        </w:rPr>
        <w:t>dynamistycznej</w:t>
      </w:r>
      <w:proofErr w:type="spellEnd"/>
      <w:r w:rsidRPr="002926E6">
        <w:rPr>
          <w:rFonts w:ascii="Bookman Old Style" w:hAnsi="Bookman Old Style"/>
          <w:color w:val="404040" w:themeColor="text1" w:themeTint="BF"/>
        </w:rPr>
        <w:t xml:space="preserve"> koncepcji substancji. W przeciwieństwie do swych poprzedników uważał przemienność za zasadniczą własność substancji; w tym leżało główne bodaj odstępstwo Leibniza od </w:t>
      </w:r>
      <w:proofErr w:type="spellStart"/>
      <w:r w:rsidRPr="002926E6">
        <w:rPr>
          <w:rFonts w:ascii="Bookman Old Style" w:hAnsi="Bookman Old Style"/>
          <w:color w:val="404040" w:themeColor="text1" w:themeTint="BF"/>
        </w:rPr>
        <w:t>Cartezjusza</w:t>
      </w:r>
      <w:proofErr w:type="spellEnd"/>
      <w:r w:rsidRPr="002926E6">
        <w:rPr>
          <w:rFonts w:ascii="Bookman Old Style" w:hAnsi="Bookman Old Style"/>
          <w:color w:val="404040" w:themeColor="text1" w:themeTint="BF"/>
        </w:rPr>
        <w:t xml:space="preserve">. Błąd kartezjanizmu widział w geometrycznej koncepcji materii, nie uwzględniającej czynników dynamicznych. W jego przekonaniu nie mechanizm, lecz dynamizm był teorią odpowiadającą zjawiskom. </w:t>
      </w: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Default="002926E6" w:rsidP="00A4537F">
      <w:pPr>
        <w:rPr>
          <w:rFonts w:ascii="Bookman Old Style" w:hAnsi="Bookman Old Style"/>
          <w:b/>
          <w:color w:val="404040" w:themeColor="text1" w:themeTint="BF"/>
        </w:rPr>
      </w:pPr>
    </w:p>
    <w:p w:rsidR="002926E6" w:rsidRPr="002926E6"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lastRenderedPageBreak/>
        <w:t xml:space="preserve">5. SUBSTANCJE SĄ NIEROZCIĄGŁE i NIEMATERIALNE. </w:t>
      </w:r>
      <w:r w:rsidRPr="002926E6">
        <w:rPr>
          <w:rFonts w:ascii="Bookman Old Style" w:hAnsi="Bookman Old Style"/>
          <w:color w:val="404040" w:themeColor="text1" w:themeTint="BF"/>
        </w:rPr>
        <w:t xml:space="preserve">Substancje są niepodzielne: to, co podzielne, może stanowić mnogość substancji, ale nie jedną substancję. Ponieważ zaś rozciągłość jest podzielna, więc substancje są nierozciągłe. Ponieważ zaś materia jest rozciągła, więc substancje, jako nierozciągłe, są niematerialne. Ciała, jako materialne, rozciągłe i podzielne, nie są więc substancjami, mogą być jedynie zjawiskami substancji. Nierozciągłe, a za to obdarzone siłami substancje, niepodzielne i indywidualne, mają naturę podobną do dusz raczej niż do ciał. Nie z obserwacji materialnego świata, lecz z samowiedzy znamy indywidualne i samorzutnie działające jednostki. Jeśli nazwiemy „spirytualizmem" pogląd, że dusze są substancjami i że wszelkie substancje mają naturę bardziej podobną do dusz niż do ciał, to pogląd Leibniza był spirytualizmem. </w:t>
      </w:r>
    </w:p>
    <w:p w:rsidR="00CB7240" w:rsidRPr="002926E6" w:rsidRDefault="00A4537F" w:rsidP="00A4537F">
      <w:pPr>
        <w:rPr>
          <w:rFonts w:ascii="Bookman Old Style" w:hAnsi="Bookman Old Style"/>
          <w:color w:val="404040" w:themeColor="text1" w:themeTint="BF"/>
        </w:rPr>
      </w:pPr>
      <w:r w:rsidRPr="002926E6">
        <w:rPr>
          <w:rFonts w:ascii="Bookman Old Style" w:hAnsi="Bookman Old Style"/>
          <w:b/>
          <w:color w:val="404040" w:themeColor="text1" w:themeTint="BF"/>
        </w:rPr>
        <w:t>6. SUBSTANCJE MAJĄ ZDOLNOŚĆ POSTRZEGANIA</w:t>
      </w:r>
      <w:r w:rsidRPr="002926E6">
        <w:rPr>
          <w:rFonts w:ascii="Bookman Old Style" w:hAnsi="Bookman Old Style"/>
          <w:color w:val="404040" w:themeColor="text1" w:themeTint="BF"/>
        </w:rPr>
        <w:t xml:space="preserve">. Własności substancji są tedy analogiczne do własności psychicznych; i stosunek między substancjami musi przede wszystkim polegać na postrzeganiu. To twierdzenie Leibniza miało bardziej paradoksalne brzmienie niż sens: pojmował bowiem postrzeżenie bardzo szeroko, nie uważał samowiedzy i nawet świadomości za niezbędny warunek postrzegania; obejmował mianem postrzeżenia stany o różnym stopniu jasności, wyrazistości i świadomości. Zasada ciągłości pozwoliła mu połączyć w jeden szereg postrzeżenia o różnym stopniu jasności, świadome i podświadome, od wszechwiedzy Boskiej do podświadomych „małych spostrzeżeń" najniższych substancji. Jedynie Bóg, monada doskonała, postrzega wszechświat z doskonałą jasnością. Najniższe monady mają jedynie postrzeżenia niedoskonałe, nieświadome, podobne do tych, jakich ludzie doznają w stanie omdlenia lub głębokiego snu. Dusza ludzka posiada stosunkowo wysoki poziom świadomości: postrzega dokładnie i postrzeżenia te pamięta, przede wszystkim zaś posiada samowiedzę, która bynajmniej nie jest własnością wszelkiego postrzegania. Postrzeżenia czynią, że monady różnią się jedna od drugiej; każda postrzega wprawdzie to samo, bo, w ten czy inny sposób, każda ma wszechświat za przedmiot swych spostrzeżeń, ale - każda postrzega go z innym stopniem jasności i z innej perspektywy, każda uświadamia sobie inne jego części. Ponieważ substancje nie działają jedna na drugą, więc treść spostrzeżeń nie może być nabyta przez działanie z zewnątrz, lecz musi być substancjom wrodzona. Była to paradoksalna konsekwencja epistemologiczna nauki o samoistności i nieprzenikalności substancji. </w:t>
      </w:r>
    </w:p>
    <w:p w:rsidR="00CB7240" w:rsidRPr="002926E6" w:rsidRDefault="00A4537F" w:rsidP="00CB7240">
      <w:pPr>
        <w:spacing w:after="0" w:line="240" w:lineRule="auto"/>
        <w:rPr>
          <w:rFonts w:ascii="Bookman Old Style" w:hAnsi="Bookman Old Style"/>
          <w:color w:val="404040" w:themeColor="text1" w:themeTint="BF"/>
        </w:rPr>
      </w:pPr>
      <w:r w:rsidRPr="002926E6">
        <w:rPr>
          <w:rFonts w:ascii="Bookman Old Style" w:hAnsi="Bookman Old Style"/>
          <w:b/>
          <w:color w:val="404040" w:themeColor="text1" w:themeTint="BF"/>
        </w:rPr>
        <w:t>7. ZJAWISKIEM SUBSTANCJI SĄ CIAŁA</w:t>
      </w:r>
      <w:r w:rsidRPr="002926E6">
        <w:rPr>
          <w:rFonts w:ascii="Bookman Old Style" w:hAnsi="Bookman Old Style"/>
          <w:color w:val="404040" w:themeColor="text1" w:themeTint="BF"/>
        </w:rPr>
        <w:t>. Ciała, nie będąc substancjami, są zjawiskami substancji. Cielesność była dla Leibniza tą postacią, w jakiej monada zjawia się monadzie. Ciała są wobec substancji tym, czym odbicia ciał w zwierciadłach są wobec ciał. Ciała są zjawiskami, ale nie są złudami; są to zjawiska „prawdziwe", „dobrze ugruntowane" (</w:t>
      </w:r>
      <w:proofErr w:type="spellStart"/>
      <w:r w:rsidRPr="002926E6">
        <w:rPr>
          <w:rFonts w:ascii="Bookman Old Style" w:hAnsi="Bookman Old Style"/>
          <w:color w:val="404040" w:themeColor="text1" w:themeTint="BF"/>
        </w:rPr>
        <w:t>phaenomena</w:t>
      </w:r>
      <w:proofErr w:type="spellEnd"/>
      <w:r w:rsidRPr="002926E6">
        <w:rPr>
          <w:rFonts w:ascii="Bookman Old Style" w:hAnsi="Bookman Old Style"/>
          <w:color w:val="404040" w:themeColor="text1" w:themeTint="BF"/>
        </w:rPr>
        <w:t xml:space="preserve"> bene </w:t>
      </w:r>
      <w:proofErr w:type="spellStart"/>
      <w:r w:rsidRPr="002926E6">
        <w:rPr>
          <w:rFonts w:ascii="Bookman Old Style" w:hAnsi="Bookman Old Style"/>
          <w:color w:val="404040" w:themeColor="text1" w:themeTint="BF"/>
        </w:rPr>
        <w:t>fundata</w:t>
      </w:r>
      <w:proofErr w:type="spellEnd"/>
      <w:r w:rsidRPr="002926E6">
        <w:rPr>
          <w:rFonts w:ascii="Bookman Old Style" w:hAnsi="Bookman Old Style"/>
          <w:color w:val="404040" w:themeColor="text1" w:themeTint="BF"/>
        </w:rPr>
        <w:t xml:space="preserve">), gdyż w pewien sposób odpowiadają naturze zjawiających się substancji. Bo czymże są zjawiska? Leibniz zachował stare, obiektywne pojęcie zjawiska: zjawisko jest zewnętrzną i względną postacią rzeczy. W tym sensie substancja sama przez się nie jest ciałem, ale dla innych substancji jest ciałem. Zjawiskowe były dla Leibniza nie tylko własności zmysłowe, jak światło, ciepło, barwy, ale także i te, które mechanistyczna filozofia XVII w. uważała właśnie za obiektywne własności substancji: rozciągłość, kształt, ruch. Są bowiem względne, zależne od punktu widzenia, nie mogą więc być własnościami samego bytu. Realna jest w substancji jedność, a mnogość jest zjawiskowa; realna jest siła, a rozciągłość zjawiskowa. Realnie żadna monada nie działa na żadną, a objawiają się tak, jak gdyby każda działała na każdą. Wobec takich rozbieżności między substancją a zjawiskiem, inaczej widzi świat metafizyka, która bada naturę substancji, a inaczej fizyka, która bada zjawiska. Specjalnie nie </w:t>
      </w:r>
      <w:r w:rsidRPr="002926E6">
        <w:rPr>
          <w:rFonts w:ascii="Bookman Old Style" w:hAnsi="Bookman Old Style"/>
          <w:color w:val="404040" w:themeColor="text1" w:themeTint="BF"/>
        </w:rPr>
        <w:lastRenderedPageBreak/>
        <w:t>należą do natury substancji przestrzeń i czas; każda substancja jest bowiem jednością, a przestrzeń i czas są formami mnogości. Nie należą one także do zjawisk; zjawiskiem jest tylko mnogość następujących po sobie lub współistniejących faktów, na podstawie której umysł tworzy idealne koncepcje przestrzeni i czasu. Wobec takiej natury czasu Leibniz przyjmował, że stosunki między substancjami są bezczasowe, tak samo jak stosunki logiczne. I podobnie jak Spinoza i tylu innych racjonalistów przed nim miał przekonanie, że natura realnego bytu jest ta sa</w:t>
      </w:r>
      <w:r w:rsidR="00CB7240" w:rsidRPr="002926E6">
        <w:rPr>
          <w:rFonts w:ascii="Bookman Old Style" w:hAnsi="Bookman Old Style"/>
          <w:color w:val="404040" w:themeColor="text1" w:themeTint="BF"/>
        </w:rPr>
        <w:t xml:space="preserve">ma, co stosunków logicznych. </w:t>
      </w:r>
    </w:p>
    <w:p w:rsidR="006B49E1" w:rsidRPr="002926E6" w:rsidRDefault="006B49E1" w:rsidP="00CB7240">
      <w:pPr>
        <w:spacing w:after="0" w:line="240" w:lineRule="auto"/>
        <w:rPr>
          <w:rFonts w:ascii="Bookman Old Style" w:hAnsi="Bookman Old Style"/>
          <w:color w:val="404040" w:themeColor="text1" w:themeTint="BF"/>
        </w:rPr>
      </w:pPr>
    </w:p>
    <w:p w:rsidR="002926E6" w:rsidRDefault="002926E6" w:rsidP="00CB7240">
      <w:pPr>
        <w:spacing w:after="0" w:line="240" w:lineRule="auto"/>
        <w:rPr>
          <w:rFonts w:ascii="Bookman Old Style" w:hAnsi="Bookman Old Style"/>
          <w:b/>
          <w:color w:val="404040" w:themeColor="text1" w:themeTint="BF"/>
        </w:rPr>
      </w:pPr>
    </w:p>
    <w:p w:rsidR="002926E6" w:rsidRDefault="002926E6" w:rsidP="00CB7240">
      <w:pPr>
        <w:spacing w:after="0" w:line="240" w:lineRule="auto"/>
        <w:rPr>
          <w:rFonts w:ascii="Bookman Old Style" w:hAnsi="Bookman Old Style"/>
          <w:b/>
          <w:color w:val="404040" w:themeColor="text1" w:themeTint="BF"/>
        </w:rPr>
      </w:pPr>
    </w:p>
    <w:p w:rsidR="00CB7240" w:rsidRPr="002926E6" w:rsidRDefault="00A4537F" w:rsidP="00CB7240">
      <w:pPr>
        <w:spacing w:after="0" w:line="240" w:lineRule="auto"/>
        <w:rPr>
          <w:rFonts w:ascii="Bookman Old Style" w:hAnsi="Bookman Old Style"/>
          <w:color w:val="404040" w:themeColor="text1" w:themeTint="BF"/>
        </w:rPr>
      </w:pPr>
      <w:r w:rsidRPr="002926E6">
        <w:rPr>
          <w:rFonts w:ascii="Bookman Old Style" w:hAnsi="Bookman Old Style"/>
          <w:b/>
          <w:color w:val="404040" w:themeColor="text1" w:themeTint="BF"/>
        </w:rPr>
        <w:t>8. SUBSTANCJE DZIAŁAJĄ CELOWO</w:t>
      </w:r>
      <w:r w:rsidRPr="002926E6">
        <w:rPr>
          <w:rFonts w:ascii="Bookman Old Style" w:hAnsi="Bookman Old Style"/>
          <w:color w:val="404040" w:themeColor="text1" w:themeTint="BF"/>
        </w:rPr>
        <w:t xml:space="preserve">. Do natury monad należą nie tylko spostrzeżenia, ale i pożądania; one to są czynnikiem przemian w monadach. Pożądania zmierzają ku celom; celowość przeto cechuje substancje i tylko zjawiska podlegają prawom mechanicznym. Celowość jest realna, a mechanizm jest zjawiskowy. W ten sposób Leibniz stary spór celowości i mechanizmu rozstrzygał na korzyść celowości. </w:t>
      </w:r>
    </w:p>
    <w:p w:rsidR="006B49E1" w:rsidRPr="002926E6" w:rsidRDefault="006B49E1" w:rsidP="00CB7240">
      <w:pPr>
        <w:spacing w:after="0" w:line="240" w:lineRule="auto"/>
        <w:rPr>
          <w:rFonts w:ascii="Bookman Old Style" w:hAnsi="Bookman Old Style"/>
          <w:color w:val="404040" w:themeColor="text1" w:themeTint="BF"/>
        </w:rPr>
      </w:pPr>
    </w:p>
    <w:p w:rsidR="00CB7240" w:rsidRPr="002926E6" w:rsidRDefault="00A4537F" w:rsidP="00CB7240">
      <w:pPr>
        <w:spacing w:after="0" w:line="240" w:lineRule="auto"/>
        <w:rPr>
          <w:rFonts w:ascii="Bookman Old Style" w:hAnsi="Bookman Old Style"/>
          <w:color w:val="404040" w:themeColor="text1" w:themeTint="BF"/>
        </w:rPr>
      </w:pPr>
      <w:r w:rsidRPr="002926E6">
        <w:rPr>
          <w:rFonts w:ascii="Bookman Old Style" w:hAnsi="Bookman Old Style"/>
          <w:b/>
          <w:color w:val="404040" w:themeColor="text1" w:themeTint="BF"/>
        </w:rPr>
        <w:t xml:space="preserve">9. SUBSTANCJE STANOWIĄ HIERARCHIĘ. </w:t>
      </w:r>
      <w:r w:rsidRPr="002926E6">
        <w:rPr>
          <w:rFonts w:ascii="Bookman Old Style" w:hAnsi="Bookman Old Style"/>
          <w:color w:val="404040" w:themeColor="text1" w:themeTint="BF"/>
        </w:rPr>
        <w:t xml:space="preserve">Mniejsza lub większa doskonałość przedstawień czyni, że monady są mniej lub więcej doskonałe. Jako mniej lub więcej doskonałe, tworzą hierarchię. Zaczynając od monad pozbawionych samowiedzy, których świadomość jest jakby w stanie uśpienia, poprzez dusze niższe, rozporządzające tylko spostrzeżeniami i pamięcią, i dusze posiadające samowiedzę i rozum - hierarchia dochodzi aż do szczytu, którym jest monada doskonała: Bóg. Że taka doskonała monada istnieje, to Leibniz popierał dowodami znanymi od czasów średniowiecza, zarówno dowodami Anzelma, jak Tomasza. </w:t>
      </w:r>
    </w:p>
    <w:p w:rsidR="006B49E1" w:rsidRPr="002926E6" w:rsidRDefault="006B49E1" w:rsidP="00CB7240">
      <w:pPr>
        <w:spacing w:after="0" w:line="240" w:lineRule="auto"/>
        <w:rPr>
          <w:rFonts w:ascii="Bookman Old Style" w:hAnsi="Bookman Old Style"/>
          <w:color w:val="404040" w:themeColor="text1" w:themeTint="BF"/>
        </w:rPr>
      </w:pPr>
    </w:p>
    <w:p w:rsidR="006B49E1" w:rsidRPr="002926E6" w:rsidRDefault="00A4537F" w:rsidP="00CB7240">
      <w:pPr>
        <w:spacing w:after="0" w:line="240" w:lineRule="auto"/>
        <w:rPr>
          <w:rFonts w:ascii="Bookman Old Style" w:hAnsi="Bookman Old Style"/>
          <w:color w:val="404040" w:themeColor="text1" w:themeTint="BF"/>
        </w:rPr>
      </w:pPr>
      <w:r w:rsidRPr="002926E6">
        <w:rPr>
          <w:rFonts w:ascii="Bookman Old Style" w:hAnsi="Bookman Old Style"/>
          <w:b/>
          <w:color w:val="404040" w:themeColor="text1" w:themeTint="BF"/>
        </w:rPr>
        <w:t>10. SUBSTANCJE TWORZĄ HARMONIJNY ZESPÓL</w:t>
      </w:r>
      <w:r w:rsidRPr="002926E6">
        <w:rPr>
          <w:rFonts w:ascii="Bookman Old Style" w:hAnsi="Bookman Old Style"/>
          <w:color w:val="404040" w:themeColor="text1" w:themeTint="BF"/>
        </w:rPr>
        <w:t xml:space="preserve">. Pomimo iż każda monada jest odrębnym i nieprzenikalnym światem, jednakże wszystkie odpowiadają sobie i zgadzają się między sobą. Zgodność między duszą a ciałem, stanowiąca jedno z głównych zagadnień XVII wieku, była dla Leibniza już tylko szczegółowym wypadkiem ogólnej zgodności we wszechświecie. Skąd ta harmonia? Jak dzieje się to, że spostrzeżenia różnych monad odpowiadają sobie? Oto harmonia jest wprzód ustanowiona przez Boga (harmonie </w:t>
      </w:r>
      <w:proofErr w:type="spellStart"/>
      <w:r w:rsidRPr="002926E6">
        <w:rPr>
          <w:rFonts w:ascii="Bookman Old Style" w:hAnsi="Bookman Old Style"/>
          <w:color w:val="404040" w:themeColor="text1" w:themeTint="BF"/>
        </w:rPr>
        <w:t>preetablie</w:t>
      </w:r>
      <w:proofErr w:type="spellEnd"/>
      <w:r w:rsidRPr="002926E6">
        <w:rPr>
          <w:rFonts w:ascii="Bookman Old Style" w:hAnsi="Bookman Old Style"/>
          <w:color w:val="404040" w:themeColor="text1" w:themeTint="BF"/>
        </w:rPr>
        <w:t xml:space="preserve">, </w:t>
      </w:r>
      <w:proofErr w:type="spellStart"/>
      <w:r w:rsidRPr="002926E6">
        <w:rPr>
          <w:rFonts w:ascii="Bookman Old Style" w:hAnsi="Bookman Old Style"/>
          <w:color w:val="404040" w:themeColor="text1" w:themeTint="BF"/>
        </w:rPr>
        <w:t>harmoniapraestabilita</w:t>
      </w:r>
      <w:proofErr w:type="spellEnd"/>
      <w:r w:rsidRPr="002926E6">
        <w:rPr>
          <w:rFonts w:ascii="Bookman Old Style" w:hAnsi="Bookman Old Style"/>
          <w:color w:val="404040" w:themeColor="text1" w:themeTint="BF"/>
        </w:rPr>
        <w:t>). Wedle tego ustanowienia losy monad rozwijają się niezależnie, ale równolegle i zgodnie, wedle stałego prawa, więc w stałej odpowiedniości. Monady są jakby zegarami, jednakowo na początku uregulowanymi przez Boga, które zgadzają się zawsze ze sobą i przez to robią wrażenie, jak gdyby były od siebie zależne. Możliwe byłyby światy inne niż ten, który istnieje; ale wszystkie byłyby mniej harmonijne.</w:t>
      </w:r>
    </w:p>
    <w:p w:rsidR="00CB7240" w:rsidRDefault="00CB7240"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Default="002926E6" w:rsidP="00A4537F">
      <w:pPr>
        <w:rPr>
          <w:rFonts w:ascii="Bookman Old Style" w:hAnsi="Bookman Old Style"/>
          <w:b/>
          <w:color w:val="595959" w:themeColor="text1" w:themeTint="A6"/>
        </w:rPr>
      </w:pPr>
    </w:p>
    <w:p w:rsidR="002926E6" w:rsidRPr="002926E6" w:rsidRDefault="002926E6" w:rsidP="00A4537F">
      <w:pPr>
        <w:rPr>
          <w:rFonts w:ascii="Bookman Old Style" w:hAnsi="Bookman Old Style"/>
          <w:b/>
          <w:color w:val="595959" w:themeColor="text1" w:themeTint="A6"/>
        </w:rPr>
      </w:pPr>
    </w:p>
    <w:p w:rsidR="006B49E1" w:rsidRPr="002926E6" w:rsidRDefault="006B49E1" w:rsidP="00A4537F">
      <w:pPr>
        <w:rPr>
          <w:rFonts w:ascii="Bookman Old Style" w:hAnsi="Bookman Old Style"/>
          <w:b/>
          <w:color w:val="595959" w:themeColor="text1" w:themeTint="A6"/>
        </w:rPr>
      </w:pPr>
      <w:r w:rsidRPr="002926E6">
        <w:rPr>
          <w:rFonts w:ascii="Bookman Old Style" w:hAnsi="Bookman Old Style"/>
          <w:b/>
          <w:color w:val="595959" w:themeColor="text1" w:themeTint="A6"/>
        </w:rPr>
        <w:lastRenderedPageBreak/>
        <w:t>BARKELEY</w:t>
      </w:r>
    </w:p>
    <w:p w:rsidR="00F75EB6" w:rsidRPr="002926E6" w:rsidRDefault="006B49E1" w:rsidP="00A4537F">
      <w:pPr>
        <w:rPr>
          <w:rFonts w:ascii="Bookman Old Style" w:hAnsi="Bookman Old Style"/>
          <w:b/>
          <w:color w:val="595959" w:themeColor="text1" w:themeTint="A6"/>
        </w:rPr>
      </w:pPr>
      <w:r w:rsidRPr="002926E6">
        <w:rPr>
          <w:rFonts w:ascii="Bookman Old Style" w:hAnsi="Bookman Old Style"/>
          <w:b/>
          <w:color w:val="595959" w:themeColor="text1" w:themeTint="A6"/>
        </w:rPr>
        <w:t xml:space="preserve">POGLĄDY. </w:t>
      </w:r>
    </w:p>
    <w:p w:rsidR="00F75EB6" w:rsidRPr="002926E6" w:rsidRDefault="002926E6" w:rsidP="002926E6">
      <w:pPr>
        <w:rPr>
          <w:rFonts w:ascii="Bookman Old Style" w:hAnsi="Bookman Old Style"/>
          <w:color w:val="595959" w:themeColor="text1" w:themeTint="A6"/>
        </w:rPr>
      </w:pPr>
      <w:r>
        <w:rPr>
          <w:rFonts w:ascii="Bookman Old Style" w:hAnsi="Bookman Old Style"/>
          <w:b/>
          <w:color w:val="595959" w:themeColor="text1" w:themeTint="A6"/>
        </w:rPr>
        <w:t>1.</w:t>
      </w:r>
      <w:r w:rsidR="006B49E1" w:rsidRPr="002926E6">
        <w:rPr>
          <w:rFonts w:ascii="Bookman Old Style" w:hAnsi="Bookman Old Style"/>
          <w:b/>
          <w:color w:val="595959" w:themeColor="text1" w:themeTint="A6"/>
        </w:rPr>
        <w:t>SKRAJNY NOMINALIZM.</w:t>
      </w:r>
      <w:r w:rsidR="006B49E1" w:rsidRPr="002926E6">
        <w:rPr>
          <w:rFonts w:ascii="Bookman Old Style" w:hAnsi="Bookman Old Style"/>
          <w:color w:val="595959" w:themeColor="text1" w:themeTint="A6"/>
        </w:rPr>
        <w:t xml:space="preserve"> Berkeley dał dążeniom swych empirystycznych poprzedników, w szczególności </w:t>
      </w:r>
      <w:proofErr w:type="spellStart"/>
      <w:r w:rsidR="006B49E1" w:rsidRPr="002926E6">
        <w:rPr>
          <w:rFonts w:ascii="Bookman Old Style" w:hAnsi="Bookman Old Style"/>
          <w:color w:val="595959" w:themeColor="text1" w:themeTint="A6"/>
        </w:rPr>
        <w:t>Locke'a</w:t>
      </w:r>
      <w:proofErr w:type="spellEnd"/>
      <w:r w:rsidR="006B49E1" w:rsidRPr="002926E6">
        <w:rPr>
          <w:rFonts w:ascii="Bookman Old Style" w:hAnsi="Bookman Old Style"/>
          <w:color w:val="595959" w:themeColor="text1" w:themeTint="A6"/>
        </w:rPr>
        <w:t xml:space="preserve">, postać bardziej skrajną. Skrajność ta objawiła się przede wszystkim w poglądzie na idee ogólne i pojęcia abstrakcyjne. </w:t>
      </w:r>
      <w:proofErr w:type="spellStart"/>
      <w:r w:rsidR="006B49E1" w:rsidRPr="002926E6">
        <w:rPr>
          <w:rFonts w:ascii="Bookman Old Style" w:hAnsi="Bookman Old Style"/>
          <w:color w:val="595959" w:themeColor="text1" w:themeTint="A6"/>
        </w:rPr>
        <w:t>Locke</w:t>
      </w:r>
      <w:proofErr w:type="spellEnd"/>
      <w:r w:rsidR="006B49E1" w:rsidRPr="002926E6">
        <w:rPr>
          <w:rFonts w:ascii="Bookman Old Style" w:hAnsi="Bookman Old Style"/>
          <w:color w:val="595959" w:themeColor="text1" w:themeTint="A6"/>
        </w:rPr>
        <w:t xml:space="preserve"> zaprzeczał, jakoby w świecie zewnętrznym istniały przedmioty ogólne i abstrakcyjne; natomiast przyznawał, że pojęcia abstrakcyjne istnieją w umysłach. Berkeley zaprzeczał i temu: w umyśle tak samo nie ma nic abstrakcyjnego, jak i poza umysłem. Nikt na przykład nie ma abstrakcyjnej idei rozciągłości: niepodobna przedstawić sobie rozciągłości bez takiej czy innej barwy, niepodobna też przedstawić sobie „barwy w ogóle", lecz przedstawiona barwa musi być bądź czerwona, bądź żółta, bądź jakakolwiek inna. Idea abstrakcyjna, na przykład idea „trójkąta", który nie jest ani ostro-, ani prosto-, ani rozwartokątny, jest sprzeczna, więc istnieć nie może. Niepodobna również przedstawić sobie „ruchu w ogóle", który nie byłby ani wolny, ani szybki. Każda w ogóle idea, jaką posiadamy, jest zupełnie określona i konkretna. Poprzednicy Berkeleya twierdzili, że wyrazy ogólne wprawdzie nic ogólnego nie oznaczają, ale coś ogólnego wyrażają, mianowicie ogólne idee w naszym umyśle. Według zaś Berkeleya nie ma ani przedmiotów ogólnych, ani idei ogólnych; ogólne są jedynie wyrazy. W związku z tym poglądem nastąpiło u Berkeleya zwężenie terminu „idea": u </w:t>
      </w:r>
      <w:proofErr w:type="spellStart"/>
      <w:r w:rsidR="006B49E1" w:rsidRPr="002926E6">
        <w:rPr>
          <w:rFonts w:ascii="Bookman Old Style" w:hAnsi="Bookman Old Style"/>
          <w:color w:val="595959" w:themeColor="text1" w:themeTint="A6"/>
        </w:rPr>
        <w:t>Locke'a</w:t>
      </w:r>
      <w:proofErr w:type="spellEnd"/>
      <w:r w:rsidR="006B49E1" w:rsidRPr="002926E6">
        <w:rPr>
          <w:rFonts w:ascii="Bookman Old Style" w:hAnsi="Bookman Old Style"/>
          <w:color w:val="595959" w:themeColor="text1" w:themeTint="A6"/>
        </w:rPr>
        <w:t xml:space="preserve"> znaczył on „przedstawienie", a u Berkeleya tylko „wyobrażenie", gdyż nie ma innych przedstawień niż przedstawienia konkretne, czyli wyobrażenia. </w:t>
      </w:r>
    </w:p>
    <w:p w:rsidR="002926E6" w:rsidRPr="002926E6" w:rsidRDefault="002926E6" w:rsidP="002926E6">
      <w:pPr>
        <w:rPr>
          <w:rFonts w:ascii="Bookman Old Style" w:hAnsi="Bookman Old Style"/>
          <w:color w:val="595959" w:themeColor="text1" w:themeTint="A6"/>
        </w:rPr>
      </w:pPr>
    </w:p>
    <w:p w:rsidR="00F75EB6" w:rsidRPr="002926E6" w:rsidRDefault="006B49E1" w:rsidP="00A4537F">
      <w:pPr>
        <w:rPr>
          <w:rFonts w:ascii="Bookman Old Style" w:hAnsi="Bookman Old Style"/>
          <w:color w:val="595959" w:themeColor="text1" w:themeTint="A6"/>
        </w:rPr>
      </w:pPr>
      <w:r w:rsidRPr="002926E6">
        <w:rPr>
          <w:rFonts w:ascii="Bookman Old Style" w:hAnsi="Bookman Old Style"/>
          <w:b/>
          <w:color w:val="595959" w:themeColor="text1" w:themeTint="A6"/>
        </w:rPr>
        <w:t>2. SKRAJNY SENSUALIZM.</w:t>
      </w:r>
      <w:r w:rsidRPr="002926E6">
        <w:rPr>
          <w:rFonts w:ascii="Bookman Old Style" w:hAnsi="Bookman Old Style"/>
          <w:color w:val="595959" w:themeColor="text1" w:themeTint="A6"/>
        </w:rPr>
        <w:t xml:space="preserve"> Empirystyczny radykalizm Berkeleya objawił się również w jego poglądzie na pochodzenie poznania. Twierdził, że rozum jest istotnie właściwy człowiekowi, ale ma za przedmiot wyłącznie sprawy duchowe. Dla poznania ciał jedynym źródłem są zmysły. Jeśli chodzi o ciała, to wiedzieć i postrzegać jest jedno i to samo. Ale Berkeley poszedł jeszcze dalej: </w:t>
      </w:r>
      <w:proofErr w:type="spellStart"/>
      <w:r w:rsidRPr="002926E6">
        <w:rPr>
          <w:rFonts w:ascii="Bookman Old Style" w:hAnsi="Bookman Old Style"/>
          <w:color w:val="595959" w:themeColor="text1" w:themeTint="A6"/>
        </w:rPr>
        <w:t>Locke</w:t>
      </w:r>
      <w:proofErr w:type="spellEnd"/>
      <w:r w:rsidRPr="002926E6">
        <w:rPr>
          <w:rFonts w:ascii="Bookman Old Style" w:hAnsi="Bookman Old Style"/>
          <w:color w:val="595959" w:themeColor="text1" w:themeTint="A6"/>
        </w:rPr>
        <w:t xml:space="preserve"> twierdził, iż tyle tylko wiemy, ile doświadczamy, on zaś ponadto głosił, iż to tylko istnieje, czego doświadczamy. Uderzające były konsekwencje tego sensualizmu dla nauki, zwłaszcza matematyki. Teoria matematyki Berkeleya była najradykalniej sensualistyczną teorią wiedzy, jaka kiedykolwiek była wygłoszona. Figury, które geometria rysuje na papierze czy na tablicy, nie były dla Berkeleya ilustracją, lecz właściwym przedmiotem wiedzy matematycznej; one bowiem jedne mogą być oglądane przez zmysły. Rozum nie ma z matematyką nic do czynienia, bo przedmiotem jego są wyłącznie sprawy duchowe, a trójkąty nie są duchami ani czynnościami duchów; matematyka może więc jedynie być rzeczą zmysłów. To zmysłowe jej pojmowanie kazało Berkeleyowi wnosić, że linie składają się z punktów i każda linia ma ich określoną ilość; że dzielenie w nieskończoność jest niemożliwe; że nie ma wielkości mniejszych niż te, które są postrzegalne, że więc matematyka nie może o takich wielkościach traktować. Całe życie Berkeley walczył z koncepcją wielkości nieskończenie małych, która wydawała mu się dziecinną pomyłką. Na ogół matematyka odbiega od doświadczenia, nie ma więc wartości dla poznania rzeczywistości. Berkeley był tedy przeciwnikiem stosowania matematyki do nauk przyrodniczych. Ten zasłużony dla optyki badacz był przeciwnikiem jej matematycznego traktowania. Potępiał też całe teoretyczne przyrodoznawstwo za jego abstrakcyjne pojęcia; przede wszystkim odrzucał mechanikę Newtona z jej absolutnym ruchem, przestrzenią i czasem, które nie istnieją, skoro nie ma ich </w:t>
      </w:r>
      <w:r w:rsidRPr="002926E6">
        <w:rPr>
          <w:rFonts w:ascii="Bookman Old Style" w:hAnsi="Bookman Old Style"/>
          <w:color w:val="595959" w:themeColor="text1" w:themeTint="A6"/>
        </w:rPr>
        <w:lastRenderedPageBreak/>
        <w:t xml:space="preserve">śladu w doświadczeniu zmysłowym. Co więcej, Berkeley zaprzeczał istnieniu w świecie cielesnym sił i związków przyczynowych. I tych bowiem nie ma śladu w doświadczeniu. W szczególności uważał za fikcję siłę „mającą obecnie wielkie wzięcie", jak pisał: siłę ciążenia. Przedmiotem doświadczenia są tylko wyobrażenia, a wyobrażenia nie mogą działać i być przyczynami. Siła, działanie - to własności duchów, które znamy z wewnętrznego doświadczenia i przenosimy niesłusznie na przedmioty cielesne. </w:t>
      </w:r>
    </w:p>
    <w:p w:rsidR="00F75EB6" w:rsidRPr="002926E6" w:rsidRDefault="006B49E1" w:rsidP="00A4537F">
      <w:pPr>
        <w:rPr>
          <w:rFonts w:ascii="Bookman Old Style" w:hAnsi="Bookman Old Style"/>
          <w:color w:val="595959" w:themeColor="text1" w:themeTint="A6"/>
        </w:rPr>
      </w:pPr>
      <w:r w:rsidRPr="002926E6">
        <w:rPr>
          <w:rFonts w:ascii="Bookman Old Style" w:hAnsi="Bookman Old Style"/>
          <w:b/>
          <w:color w:val="595959" w:themeColor="text1" w:themeTint="A6"/>
        </w:rPr>
        <w:t>3. SKRAJNY SUBIEKTYWIZM</w:t>
      </w:r>
      <w:r w:rsidRPr="002926E6">
        <w:rPr>
          <w:rFonts w:ascii="Bookman Old Style" w:hAnsi="Bookman Old Style"/>
          <w:color w:val="595959" w:themeColor="text1" w:themeTint="A6"/>
        </w:rPr>
        <w:t xml:space="preserve">. </w:t>
      </w:r>
      <w:proofErr w:type="spellStart"/>
      <w:r w:rsidRPr="002926E6">
        <w:rPr>
          <w:rFonts w:ascii="Bookman Old Style" w:hAnsi="Bookman Old Style"/>
          <w:color w:val="595959" w:themeColor="text1" w:themeTint="A6"/>
        </w:rPr>
        <w:t>Locke</w:t>
      </w:r>
      <w:proofErr w:type="spellEnd"/>
      <w:r w:rsidRPr="002926E6">
        <w:rPr>
          <w:rFonts w:ascii="Bookman Old Style" w:hAnsi="Bookman Old Style"/>
          <w:color w:val="595959" w:themeColor="text1" w:themeTint="A6"/>
        </w:rPr>
        <w:t xml:space="preserve"> stwierdził subiektywność niektórych jakości zmysłowych; Berkeley uznał słuszność jego myśli, ale - podobnie jak i innym jego myślom - dał jej postać bardziej skrajną. Mniemał mianowicie, że pierwotne własności, które </w:t>
      </w:r>
      <w:proofErr w:type="spellStart"/>
      <w:r w:rsidRPr="002926E6">
        <w:rPr>
          <w:rFonts w:ascii="Bookman Old Style" w:hAnsi="Bookman Old Style"/>
          <w:color w:val="595959" w:themeColor="text1" w:themeTint="A6"/>
        </w:rPr>
        <w:t>Locke</w:t>
      </w:r>
      <w:proofErr w:type="spellEnd"/>
      <w:r w:rsidRPr="002926E6">
        <w:rPr>
          <w:rFonts w:ascii="Bookman Old Style" w:hAnsi="Bookman Old Style"/>
          <w:color w:val="595959" w:themeColor="text1" w:themeTint="A6"/>
        </w:rPr>
        <w:t xml:space="preserve"> uważał za obiektywne, są również subiektywne; i one także istnieją tylko w umysłach. Podobnie jak barwa istnieje tylko, gdy jest widziana, tak też ruch czy kształt, czy wielkość istnieją tylko wtedy, gdy są postrzegane. Przemawiają za tym trzy argumenty: a) Jakości pierwotne nie występują nigdy w oderwaniu, lecz zawsze w łączności z własnościami wtórnymi, np. kształt w łączności z barwą; jeśli więc te są subiektywne, to i tamte nimi być muszą, b) Własności pierwotne są względne, np. wielkość rzeczy i szybkość ruchu zmieniają się w zależności od naszej wobec nich pozycji, są więc związane z umysłem, a przeto nieobiektywne. c) Własności pierwotne nie są zawarte w doświadczeniu zmysłowym. Stosując metodę analityczną </w:t>
      </w:r>
      <w:proofErr w:type="spellStart"/>
      <w:r w:rsidRPr="002926E6">
        <w:rPr>
          <w:rFonts w:ascii="Bookman Old Style" w:hAnsi="Bookman Old Style"/>
          <w:color w:val="595959" w:themeColor="text1" w:themeTint="A6"/>
        </w:rPr>
        <w:t>Locke'a</w:t>
      </w:r>
      <w:proofErr w:type="spellEnd"/>
      <w:r w:rsidRPr="002926E6">
        <w:rPr>
          <w:rFonts w:ascii="Bookman Old Style" w:hAnsi="Bookman Old Style"/>
          <w:color w:val="595959" w:themeColor="text1" w:themeTint="A6"/>
        </w:rPr>
        <w:t xml:space="preserve"> do zbadania procesu widzenia, Berkeley w swej Nowej teorii widzenia doszedł do przekonania, że 83 przestrzeni i kształtów właściwie wcale nie widzimy; widzimy tylko światło i barwy, dopiero zaś przez połączenie wzroku z dotykiem postrzegamy głębię i ciała; pierwotne tedy własności, jak kształt i odległość, mniejsze mają oparcie w doświadczeniu niż wtórne; nie są rzeczą czystego doświadczenia, lecz wytworem przekształcenia doświadczeń przez umysł. Jeśli więc wtórne własności są subiektywne, to tym bardziej pierwotne. </w:t>
      </w:r>
    </w:p>
    <w:p w:rsidR="00F75EB6" w:rsidRPr="002926E6" w:rsidRDefault="00F75EB6" w:rsidP="00A4537F">
      <w:pPr>
        <w:rPr>
          <w:rFonts w:ascii="Bookman Old Style" w:hAnsi="Bookman Old Style"/>
          <w:color w:val="595959" w:themeColor="text1" w:themeTint="A6"/>
        </w:rPr>
      </w:pPr>
    </w:p>
    <w:p w:rsidR="00F75EB6" w:rsidRDefault="006B49E1" w:rsidP="00A4537F">
      <w:pPr>
        <w:rPr>
          <w:rFonts w:ascii="Bookman Old Style" w:hAnsi="Bookman Old Style"/>
          <w:color w:val="595959" w:themeColor="text1" w:themeTint="A6"/>
        </w:rPr>
      </w:pPr>
      <w:r w:rsidRPr="002926E6">
        <w:rPr>
          <w:rFonts w:ascii="Bookman Old Style" w:hAnsi="Bookman Old Style"/>
          <w:b/>
          <w:color w:val="595959" w:themeColor="text1" w:themeTint="A6"/>
        </w:rPr>
        <w:t xml:space="preserve">4. IMMATERIALIZM. </w:t>
      </w:r>
      <w:r w:rsidRPr="002926E6">
        <w:rPr>
          <w:rFonts w:ascii="Bookman Old Style" w:hAnsi="Bookman Old Style"/>
          <w:color w:val="595959" w:themeColor="text1" w:themeTint="A6"/>
        </w:rPr>
        <w:t xml:space="preserve">Zauważywszy, iż substancja nie jest przedmiotem doświadczenia, </w:t>
      </w:r>
      <w:proofErr w:type="spellStart"/>
      <w:r w:rsidRPr="002926E6">
        <w:rPr>
          <w:rFonts w:ascii="Bookman Old Style" w:hAnsi="Bookman Old Style"/>
          <w:color w:val="595959" w:themeColor="text1" w:themeTint="A6"/>
        </w:rPr>
        <w:t>Locke</w:t>
      </w:r>
      <w:proofErr w:type="spellEnd"/>
      <w:r w:rsidRPr="002926E6">
        <w:rPr>
          <w:rFonts w:ascii="Bookman Old Style" w:hAnsi="Bookman Old Style"/>
          <w:color w:val="595959" w:themeColor="text1" w:themeTint="A6"/>
        </w:rPr>
        <w:t xml:space="preserve"> uznał ją za niepoznawalną; ale istnieniu </w:t>
      </w:r>
      <w:proofErr w:type="spellStart"/>
      <w:r w:rsidRPr="002926E6">
        <w:rPr>
          <w:rFonts w:ascii="Bookman Old Style" w:hAnsi="Bookman Old Style"/>
          <w:color w:val="595959" w:themeColor="text1" w:themeTint="A6"/>
        </w:rPr>
        <w:t>substancyj</w:t>
      </w:r>
      <w:proofErr w:type="spellEnd"/>
      <w:r w:rsidRPr="002926E6">
        <w:rPr>
          <w:rFonts w:ascii="Bookman Old Style" w:hAnsi="Bookman Old Style"/>
          <w:color w:val="595959" w:themeColor="text1" w:themeTint="A6"/>
        </w:rPr>
        <w:t xml:space="preserve"> nie zaprzeczał. Berkeley i tu poszedł dalej: </w:t>
      </w:r>
      <w:proofErr w:type="spellStart"/>
      <w:r w:rsidRPr="002926E6">
        <w:rPr>
          <w:rFonts w:ascii="Bookman Old Style" w:hAnsi="Bookman Old Style"/>
          <w:color w:val="595959" w:themeColor="text1" w:themeTint="A6"/>
        </w:rPr>
        <w:t>substancyj</w:t>
      </w:r>
      <w:proofErr w:type="spellEnd"/>
      <w:r w:rsidRPr="002926E6">
        <w:rPr>
          <w:rFonts w:ascii="Bookman Old Style" w:hAnsi="Bookman Old Style"/>
          <w:color w:val="595959" w:themeColor="text1" w:themeTint="A6"/>
        </w:rPr>
        <w:t xml:space="preserve"> nie doświadczamy, więc - </w:t>
      </w:r>
      <w:proofErr w:type="spellStart"/>
      <w:r w:rsidRPr="002926E6">
        <w:rPr>
          <w:rFonts w:ascii="Bookman Old Style" w:hAnsi="Bookman Old Style"/>
          <w:color w:val="595959" w:themeColor="text1" w:themeTint="A6"/>
        </w:rPr>
        <w:t>substancyj</w:t>
      </w:r>
      <w:proofErr w:type="spellEnd"/>
      <w:r w:rsidRPr="002926E6">
        <w:rPr>
          <w:rFonts w:ascii="Bookman Old Style" w:hAnsi="Bookman Old Style"/>
          <w:color w:val="595959" w:themeColor="text1" w:themeTint="A6"/>
        </w:rPr>
        <w:t xml:space="preserve"> nie ma. Są one tylko fikcjami umysłu. To, co </w:t>
      </w:r>
      <w:proofErr w:type="spellStart"/>
      <w:r w:rsidRPr="002926E6">
        <w:rPr>
          <w:rFonts w:ascii="Bookman Old Style" w:hAnsi="Bookman Old Style"/>
          <w:color w:val="595959" w:themeColor="text1" w:themeTint="A6"/>
        </w:rPr>
        <w:t>nazwamy</w:t>
      </w:r>
      <w:proofErr w:type="spellEnd"/>
      <w:r w:rsidRPr="002926E6">
        <w:rPr>
          <w:rFonts w:ascii="Bookman Old Style" w:hAnsi="Bookman Old Style"/>
          <w:color w:val="595959" w:themeColor="text1" w:themeTint="A6"/>
        </w:rPr>
        <w:t xml:space="preserve"> „ciałami", są to tylko zespoły jakości zmysłowych i nic więcej; jeśli z ciał usunąć jakości, to nie zostaje nic. A więc: a) świat zewnętrzny składa się wyłącznie z jakości postrzeganych, b) wszystkie własności (zarówno pierwotne, jak i wtórne) są subiektywne. Świat składa się tylko z spostrzeżeń: poza postrzeżeniami nic w nim nie ma. Dla przedmiotów świata zewnętrznego „istnieć" znaczy: być postrzeganym (</w:t>
      </w:r>
      <w:proofErr w:type="spellStart"/>
      <w:r w:rsidRPr="002926E6">
        <w:rPr>
          <w:rFonts w:ascii="Bookman Old Style" w:hAnsi="Bookman Old Style"/>
          <w:color w:val="595959" w:themeColor="text1" w:themeTint="A6"/>
        </w:rPr>
        <w:t>esse</w:t>
      </w:r>
      <w:proofErr w:type="spellEnd"/>
      <w:r w:rsidRPr="002926E6">
        <w:rPr>
          <w:rFonts w:ascii="Bookman Old Style" w:hAnsi="Bookman Old Style"/>
          <w:color w:val="595959" w:themeColor="text1" w:themeTint="A6"/>
        </w:rPr>
        <w:t xml:space="preserve"> = </w:t>
      </w:r>
      <w:proofErr w:type="spellStart"/>
      <w:r w:rsidRPr="002926E6">
        <w:rPr>
          <w:rFonts w:ascii="Bookman Old Style" w:hAnsi="Bookman Old Style"/>
          <w:color w:val="595959" w:themeColor="text1" w:themeTint="A6"/>
        </w:rPr>
        <w:t>percipi</w:t>
      </w:r>
      <w:proofErr w:type="spellEnd"/>
      <w:r w:rsidRPr="002926E6">
        <w:rPr>
          <w:rFonts w:ascii="Bookman Old Style" w:hAnsi="Bookman Old Style"/>
          <w:color w:val="595959" w:themeColor="text1" w:themeTint="A6"/>
        </w:rPr>
        <w:t xml:space="preserve">). Rzeczy, które by były różne od spostrzeżeń, są tylko fikcjami umysłu. Jeśli materia ma być substancją istniejącą niezależnie od spostrzeżeń, to - nie ma materii. Jeśli ciała mają być częściami tak pojętej materii, to - nie ma ciał. Oto immaterializm Berkeleya. Nazywany bywa również idealizmem, bo, wedle niego, istnieją tylko idee; ten nowożytny, subiektywistyczny idealizm był jednak bardzo różny od </w:t>
      </w:r>
      <w:proofErr w:type="spellStart"/>
      <w:r w:rsidRPr="002926E6">
        <w:rPr>
          <w:rFonts w:ascii="Bookman Old Style" w:hAnsi="Bookman Old Style"/>
          <w:color w:val="595959" w:themeColor="text1" w:themeTint="A6"/>
        </w:rPr>
        <w:t>Platoń</w:t>
      </w:r>
      <w:proofErr w:type="spellEnd"/>
      <w:r w:rsidRPr="002926E6">
        <w:rPr>
          <w:rFonts w:ascii="Bookman Old Style" w:hAnsi="Bookman Old Style"/>
          <w:color w:val="595959" w:themeColor="text1" w:themeTint="A6"/>
        </w:rPr>
        <w:t xml:space="preserve">- </w:t>
      </w:r>
      <w:proofErr w:type="spellStart"/>
      <w:r w:rsidRPr="002926E6">
        <w:rPr>
          <w:rFonts w:ascii="Bookman Old Style" w:hAnsi="Bookman Old Style"/>
          <w:color w:val="595959" w:themeColor="text1" w:themeTint="A6"/>
        </w:rPr>
        <w:t>skiego</w:t>
      </w:r>
      <w:proofErr w:type="spellEnd"/>
      <w:r w:rsidRPr="002926E6">
        <w:rPr>
          <w:rFonts w:ascii="Bookman Old Style" w:hAnsi="Bookman Old Style"/>
          <w:color w:val="595959" w:themeColor="text1" w:themeTint="A6"/>
        </w:rPr>
        <w:t xml:space="preserve">, tak samo jak idea w sensie Berkeleya od idei Platona. Immaterializm był poglądem, do którego Berkeley przykładał największą wagę. Miał go za zrozumiały sam przez się, nieuznawany tylko przez zaślepienie umysłów. Wynikał on dlań bezpośrednio ze znaczenia terminu „istnieć": jeśli mówię, że stół istnieje, znaczy to, że widzę go i dotykam, lub że ktoś go widzi, lub przynajmniej, iż widziałby go, gdyby znajdował się w tym samym, co on, pokoju. Pogląd przeciwny („materialistyczna hipoteza" - jak nazywał realizm) był dla Berkeleya niezgodny z </w:t>
      </w:r>
      <w:r w:rsidRPr="002926E6">
        <w:rPr>
          <w:rFonts w:ascii="Bookman Old Style" w:hAnsi="Bookman Old Style"/>
          <w:color w:val="595959" w:themeColor="text1" w:themeTint="A6"/>
        </w:rPr>
        <w:lastRenderedPageBreak/>
        <w:t xml:space="preserve">doświadczeniem, w sobie sprzeczny, a zupełnie niepotrzebny do rozumienia faktów. Jednakże zachował nazwę „ciał" i w ogóle całe potoczne, realistyczne słownictwo. Kładł nacisk na to, że teoria jego bynajmniej nie zaprzecza rzeczywistości świata; nie podwaja go tylko, jak to czyni pospolity pogląd, wprowadzający rzeczy obok idei. Niemniej koncepcja Berkeleya nie była wolna od trudności. Przede wszystkim od tej; jeśli istnienie rzeczy polega na tym, że są postrzegane, to jakże można uważać za jedną rzecz to, co postrzegamy wieloma zmysłami. Ale Berkeley nie lękał się paradoksalnych konsekwencji. Przyznawał, że nie możemy widzieć i dotykać jednej i tej samej rzeczy; dotykamy jednej, a widzimy drugą. Mimo to mówimy o jednej i tej samej rzeczy: pochodzi to z niedokładności naszej mowy. Nie inaczej zresztą sprawa ma się z spostrzeżeniami tego samego zmysłu; gdy np. oglądamy przedmiot z bliska i z daleka, to spostrzeżenia są różne, więc i przedmiot musi być różny. Co więcej, inną rzecz widzimy gołym okiem, a inną, gdy spoglądamy przez mikroskop. Trudność dla teorii Berkeleya stanowiły szczególnie dwie sprawy: trwałość rzeczy i jedność rzeczy. 1) Czy ilekroć otwieram oczy i spostrzegam dom, tylekroć ten dom tworzy się na nowo? 2) Czy gdy dziesięciu ludzi patrzy na dom, istnieje dziesięć domów? Tu Berkeley pomagał sobie taką koncepcją: rzeczy są postrzeżeniami, ale nie tylko ludzi, lecz i Boga; jako postrzeżenia Boże mają trwałość i jedność; nawet gdy żaden człowiek na nie </w:t>
      </w:r>
      <w:proofErr w:type="spellStart"/>
      <w:r w:rsidRPr="002926E6">
        <w:rPr>
          <w:rFonts w:ascii="Bookman Old Style" w:hAnsi="Bookman Old Style"/>
          <w:color w:val="595959" w:themeColor="text1" w:themeTint="A6"/>
        </w:rPr>
        <w:t>nie</w:t>
      </w:r>
      <w:proofErr w:type="spellEnd"/>
      <w:r w:rsidRPr="002926E6">
        <w:rPr>
          <w:rFonts w:ascii="Bookman Old Style" w:hAnsi="Bookman Old Style"/>
          <w:color w:val="595959" w:themeColor="text1" w:themeTint="A6"/>
        </w:rPr>
        <w:t xml:space="preserve"> patrzy, to jednak patrzy na nie Bóg i przeto istnieją bez przerw. </w:t>
      </w:r>
    </w:p>
    <w:p w:rsidR="002926E6" w:rsidRDefault="002926E6" w:rsidP="00A4537F">
      <w:pPr>
        <w:rPr>
          <w:rFonts w:ascii="Bookman Old Style" w:hAnsi="Bookman Old Style"/>
          <w:color w:val="595959" w:themeColor="text1" w:themeTint="A6"/>
        </w:rPr>
      </w:pPr>
    </w:p>
    <w:p w:rsidR="002926E6" w:rsidRPr="002926E6" w:rsidRDefault="002926E6" w:rsidP="00A4537F">
      <w:pPr>
        <w:rPr>
          <w:rFonts w:ascii="Bookman Old Style" w:hAnsi="Bookman Old Style"/>
          <w:color w:val="595959" w:themeColor="text1" w:themeTint="A6"/>
        </w:rPr>
      </w:pPr>
    </w:p>
    <w:p w:rsidR="006B49E1" w:rsidRDefault="006B49E1" w:rsidP="00A4537F">
      <w:pPr>
        <w:rPr>
          <w:rFonts w:ascii="Bookman Old Style" w:hAnsi="Bookman Old Style"/>
          <w:color w:val="595959" w:themeColor="text1" w:themeTint="A6"/>
        </w:rPr>
      </w:pPr>
      <w:r w:rsidRPr="002926E6">
        <w:rPr>
          <w:rFonts w:ascii="Bookman Old Style" w:hAnsi="Bookman Old Style"/>
          <w:b/>
          <w:color w:val="595959" w:themeColor="text1" w:themeTint="A6"/>
        </w:rPr>
        <w:t>5. SPIRYFUALIZM</w:t>
      </w:r>
      <w:r w:rsidRPr="002926E6">
        <w:rPr>
          <w:rFonts w:ascii="Bookman Old Style" w:hAnsi="Bookman Old Style"/>
          <w:color w:val="595959" w:themeColor="text1" w:themeTint="A6"/>
        </w:rPr>
        <w:t>. Immaterializm stanowił niejako połowę filozofii Berkeleya; druga jej połowa była spirytualistyczna. Aby istniały idee, muszą istnieć umysły, które w sobie te idee noszą; świat składa się więc nie z samych idei, lecz z idei i umysłów. Umysły istnieją samodzielnie i są nosicielami idei: są prawdziwymi substancjami. Krytyka Berkeleya dotyczy substancji materialnych, nie duchowych. Uniknął jednego realizmu, ale pozostał wierny drugiemu. Było dlań pewnikiem, że idee same przez się wszak istnieć nie mogą; zakładają istnienie duchów czynnych. Duchy zaś z natury swej są różne od idei, bo różne jest to, co czynne, od tego, co bierne. Byt idei polega na tym, że są postrzegane (</w:t>
      </w:r>
      <w:proofErr w:type="spellStart"/>
      <w:r w:rsidRPr="002926E6">
        <w:rPr>
          <w:rFonts w:ascii="Bookman Old Style" w:hAnsi="Bookman Old Style"/>
          <w:color w:val="595959" w:themeColor="text1" w:themeTint="A6"/>
        </w:rPr>
        <w:t>percipi</w:t>
      </w:r>
      <w:proofErr w:type="spellEnd"/>
      <w:r w:rsidRPr="002926E6">
        <w:rPr>
          <w:rFonts w:ascii="Bookman Old Style" w:hAnsi="Bookman Old Style"/>
          <w:color w:val="595959" w:themeColor="text1" w:themeTint="A6"/>
        </w:rPr>
        <w:t>), duchów - że postrzegają (</w:t>
      </w:r>
      <w:proofErr w:type="spellStart"/>
      <w:r w:rsidRPr="002926E6">
        <w:rPr>
          <w:rFonts w:ascii="Bookman Old Style" w:hAnsi="Bookman Old Style"/>
          <w:color w:val="595959" w:themeColor="text1" w:themeTint="A6"/>
        </w:rPr>
        <w:t>percipere</w:t>
      </w:r>
      <w:proofErr w:type="spellEnd"/>
      <w:r w:rsidRPr="002926E6">
        <w:rPr>
          <w:rFonts w:ascii="Bookman Old Style" w:hAnsi="Bookman Old Style"/>
          <w:color w:val="595959" w:themeColor="text1" w:themeTint="A6"/>
        </w:rPr>
        <w:t>). Jedyną działającą przyczyną jest duch, więc wszelakie przemiany w świecie są natury duchowej, nie mechanicznej; dlatego też mechanistyczne wyjaśnienie przyrody było dla Berkeleya absurdem. Skąd wiemy o istnieniu duchów? Istnienie własnej jaźni poznajemy przez wewnętrzne doświadczenie. Pierwotną myślą Berkeleya było, że poznajemy tylko własności duszy, podobnie jak poznajemy tylko własności świata zewnętrznego, ale niebawem zmienił pogląd: poznajemy też różną od nich substancję psychiczną. 84 Poza duchem własnym istnieją też inne duchy, choć o nich nie posiadamy doświadczenia. Nie posiadamy idei duchów, posiadamy natomiast ich pojęcie (</w:t>
      </w:r>
      <w:proofErr w:type="spellStart"/>
      <w:r w:rsidRPr="002926E6">
        <w:rPr>
          <w:rFonts w:ascii="Bookman Old Style" w:hAnsi="Bookman Old Style"/>
          <w:color w:val="595959" w:themeColor="text1" w:themeTint="A6"/>
        </w:rPr>
        <w:t>notion</w:t>
      </w:r>
      <w:proofErr w:type="spellEnd"/>
      <w:r w:rsidRPr="002926E6">
        <w:rPr>
          <w:rFonts w:ascii="Bookman Old Style" w:hAnsi="Bookman Old Style"/>
          <w:color w:val="595959" w:themeColor="text1" w:themeTint="A6"/>
        </w:rPr>
        <w:t>), tj. nie wyobrażamy ich sobie, lecz je rozumiemy. Jak ciała poznajemy tylko przez zmysły, tak duszę tylko przez rozum. Toteż świat ciał jest przedmiotem nauki, świat duchów - przedmiotem metafizyki.</w:t>
      </w:r>
    </w:p>
    <w:p w:rsidR="002926E6" w:rsidRDefault="002926E6" w:rsidP="00A4537F">
      <w:pPr>
        <w:rPr>
          <w:rFonts w:ascii="Bookman Old Style" w:hAnsi="Bookman Old Style"/>
          <w:color w:val="595959" w:themeColor="text1" w:themeTint="A6"/>
        </w:rPr>
      </w:pPr>
    </w:p>
    <w:p w:rsidR="002926E6" w:rsidRPr="002926E6" w:rsidRDefault="002926E6" w:rsidP="00A4537F">
      <w:pPr>
        <w:rPr>
          <w:rFonts w:ascii="Bookman Old Style" w:hAnsi="Bookman Old Style"/>
          <w:color w:val="595959" w:themeColor="text1" w:themeTint="A6"/>
        </w:rPr>
      </w:pPr>
    </w:p>
    <w:p w:rsidR="0071110F" w:rsidRDefault="0071110F" w:rsidP="00A4537F">
      <w:pPr>
        <w:rPr>
          <w:rFonts w:ascii="Bookman Old Style" w:hAnsi="Bookman Old Style"/>
          <w:b/>
          <w:color w:val="595959" w:themeColor="text1" w:themeTint="A6"/>
        </w:rPr>
      </w:pPr>
    </w:p>
    <w:p w:rsidR="0071110F" w:rsidRPr="002926E6" w:rsidRDefault="0071110F" w:rsidP="00A4537F">
      <w:pPr>
        <w:rPr>
          <w:rFonts w:ascii="Bookman Old Style" w:hAnsi="Bookman Old Style"/>
          <w:b/>
          <w:color w:val="595959" w:themeColor="text1" w:themeTint="A6"/>
        </w:rPr>
      </w:pPr>
      <w:r w:rsidRPr="002926E6">
        <w:rPr>
          <w:rFonts w:ascii="Bookman Old Style" w:hAnsi="Bookman Old Style"/>
          <w:b/>
          <w:color w:val="595959" w:themeColor="text1" w:themeTint="A6"/>
        </w:rPr>
        <w:lastRenderedPageBreak/>
        <w:t>ROUSSEAU</w:t>
      </w:r>
    </w:p>
    <w:p w:rsidR="0071110F" w:rsidRPr="002926E6" w:rsidRDefault="0071110F" w:rsidP="00A4537F">
      <w:pPr>
        <w:rPr>
          <w:rFonts w:ascii="Bookman Old Style" w:hAnsi="Bookman Old Style"/>
        </w:rPr>
      </w:pPr>
      <w:r w:rsidRPr="002926E6">
        <w:rPr>
          <w:rFonts w:ascii="Bookman Old Style" w:hAnsi="Bookman Old Style"/>
          <w:b/>
        </w:rPr>
        <w:t>POGLĄDY. 1. POTĘPIENIE CYWILIZACJI.</w:t>
      </w:r>
      <w:r w:rsidRPr="002926E6">
        <w:rPr>
          <w:rFonts w:ascii="Bookman Old Style" w:hAnsi="Bookman Old Style"/>
        </w:rPr>
        <w:t xml:space="preserve"> Napytanie postawione przez Akademię w Dijon - czy nauki i sztuki przyczyniły się do oczyszczenia obyczajów? - Rousseau dał odpowiedź przeczącą. I wyciągnął stąd wniosek, że nauki, sztuki i w ogóle cywilizacja są pozbawione wartości. Podstawą tego wniosku było przekonanie, że dobra moralne są jedyne i niezastąpione. Co więcej, nauki i sztuki nie tylko są pozbawione wartości, ale mają wręcz wartość ujemną, gdyż stają na przeszkodzie moralności: powstały ze zła, utrzymywane są przez zło i rodzą zło. „Astronomię zrodziła przesądność; wymowę - ambicja, nienawiść, pochlebstwo; geometrię - skąpstwo; a wszystkie nauki, nie wyłączając etyki - pycha ludzka". „Co poczęlibyśmy ze sztukami, gdyby nie zbytek, który je karmi? Gdyby nie nieprawości ludzkie, do czego by służyła jurysprudencja? Czym stałaby się historia, gdyby nie było tyranów, wojen, spiskowców?" Nauki i sztuki wytwarzają zbytek jednych kosztem ubóstwa drugich, a wszystkim paczą smak, gubią cnotę. Widząc antagonizm moralności i cywilizacji Rousseau stanął po stronie moralności. Cywilizacja jest niedorzecznością, skoro nie czyni ludzi lepszymi, zwłaszcza że również nie czyni ich szczęśliwszymi. </w:t>
      </w:r>
    </w:p>
    <w:p w:rsidR="0071110F" w:rsidRPr="002926E6" w:rsidRDefault="0071110F" w:rsidP="00A4537F">
      <w:pPr>
        <w:rPr>
          <w:rFonts w:ascii="Bookman Old Style" w:hAnsi="Bookman Old Style"/>
        </w:rPr>
      </w:pPr>
      <w:r w:rsidRPr="002926E6">
        <w:rPr>
          <w:rFonts w:ascii="Bookman Old Style" w:hAnsi="Bookman Old Style"/>
          <w:b/>
        </w:rPr>
        <w:t>2. UWIELBIENIE NATURY</w:t>
      </w:r>
      <w:r w:rsidRPr="002926E6">
        <w:rPr>
          <w:rFonts w:ascii="Bookman Old Style" w:hAnsi="Bookman Old Style"/>
        </w:rPr>
        <w:t xml:space="preserve"> było u Rousseau następstwem potępienia cywilizacji. Jeśli zło pochodzi z cywilizacji, to dobro możemy znaleźć jedynie w naturze. Ten pogląd Rousseau miał źródło główne we względach moralnych, ale ponadto miał jeszcze inne źródło: przesyt kulturą. Przesyt ten wywołał tęsknotę do prostych, naturalniejszych stosunków, a tęsknota idealizowała te stosunki. W epoce Oświecenia było zwyczajem chwalić naturę, ale każdy naturę pojmował inaczej. Rousseau pojmował ją jako stan pierwotny. Jeśli cywilizacja jest źródłem zła, to najdoskonalszy jest stan pierwotny i najdoskonalsi są ludzie nie tknięci jeszcze przez cywilizację. Co przekracza stan pierwotny, jest sztuczne i złe. „Wszystko jest dobre, gdy wychodzi z rąk Stwórcy, wszystko paczy się w rękach człowieka". I Rousseau stał się apostołem naturalności, pojętej jako pierwotność. </w:t>
      </w:r>
    </w:p>
    <w:p w:rsidR="0071110F" w:rsidRPr="002926E6" w:rsidRDefault="0071110F" w:rsidP="00A4537F">
      <w:pPr>
        <w:rPr>
          <w:rFonts w:ascii="Bookman Old Style" w:hAnsi="Bookman Old Style"/>
        </w:rPr>
      </w:pPr>
      <w:r w:rsidRPr="002926E6">
        <w:rPr>
          <w:rFonts w:ascii="Bookman Old Style" w:hAnsi="Bookman Old Style"/>
          <w:b/>
        </w:rPr>
        <w:t>3. POTĘPIENIE USTROJU SPOŁECZNEGO</w:t>
      </w:r>
      <w:r w:rsidRPr="002926E6">
        <w:rPr>
          <w:rFonts w:ascii="Bookman Old Style" w:hAnsi="Bookman Old Style"/>
        </w:rPr>
        <w:t xml:space="preserve"> było dalszą konsekwencją. Nie tylko takiego czy innego, lecz w ogóle wszelkiego społecznego ustroju. Przezeń bowiem człowiek opuszcza pierwotny stan natury. Rousseau wyobrażał sobie mianowicie, że w stanie natury życie jest indywidualne. Wszelki ustrój społeczny jest nie dziełem natury, lecz wytworem sztucznym, a przeto złym. Jest on zły przede wszystkim dlatego, iż wytwarza nierówność między ludźmi. To zaś było dogmatem Rousseau: że równość jest najwyższym prawem ludzkim, przeto nierówność największym złem. Tymczasem odkąd powstało społeczeństwo, odtąd są panowie i niewolnicy, władcy i poddani, bogaci i ubodzy. Zło zaczęło się od najpierwszego kroku uspołecznienia, od chwili powstania własności. Własność zaś powstała z chwilą, gdy zapoczątkowane zostało rolnictwo i obróbka metali. Obróbka metali wymagała bowiem podziału pracy; odkąd potrzebni byli ludzie do topienia i kucia żelaza, odtąd potrzebni stali się inni, którzy tamtych karmili, i rozpoczął się handel, wymiana żelaza i pożywienia. Rolnictwo zaś wymagało ścisłego podziału terenów i ustalenia praw sprawiedliwości, całkowicie różnych od praw natury; wkładając pracę swą w ziemię, rolnik rościł sobie prawa do owoców włożonej pracy, i co za tym idzie, także do samej ziemi. Skończyła się równość, a z równością zgoda. Za tym poszło niewolnictwo, nędza, zaczęły się walki między pierwotnym właścicielem a innymi ludźmi, którzy mu chcieli jego własność odebrać, bo czuli się silniejsi. Walki wywołały wreszcie pragnienie pokoju; i dla pokoju zawarta została umowa, </w:t>
      </w:r>
      <w:r w:rsidRPr="002926E6">
        <w:rPr>
          <w:rFonts w:ascii="Bookman Old Style" w:hAnsi="Bookman Old Style"/>
        </w:rPr>
        <w:lastRenderedPageBreak/>
        <w:t xml:space="preserve">sankcjonująca stan posiadania każdego. I tak powstało państwo, wbrew naturze i równości. Taki pogląd Rousseau był odwróceniem poglądu Hobbesa na stan natury i rolę społeczeństwa i państwa. Z powyższych zaś poglądów wynikało, że dzieje nie są postępem, bo wzrastanie cywilizacji nie jest wzrastaniem ani dobra, ani szczęścia. Taki pesymistyczny wynik godził w podstawowe przekonania XVIII wieku, który podjął dzieło „oświecenia" z nieograniczoną wiarą w cywilizację i postęp. </w:t>
      </w:r>
    </w:p>
    <w:p w:rsidR="0071110F" w:rsidRPr="002926E6" w:rsidRDefault="0071110F" w:rsidP="00A4537F">
      <w:pPr>
        <w:rPr>
          <w:rFonts w:ascii="Bookman Old Style" w:hAnsi="Bookman Old Style"/>
        </w:rPr>
      </w:pPr>
      <w:r w:rsidRPr="002926E6">
        <w:rPr>
          <w:rFonts w:ascii="Bookman Old Style" w:hAnsi="Bookman Old Style"/>
          <w:b/>
        </w:rPr>
        <w:t>4. WROGA POSTAWA WOBEC INTELEKTUALIZMU</w:t>
      </w:r>
      <w:r w:rsidRPr="002926E6">
        <w:rPr>
          <w:rFonts w:ascii="Bookman Old Style" w:hAnsi="Bookman Old Style"/>
        </w:rPr>
        <w:t xml:space="preserve">. Właściwą, najgłębszą zdolność człowieka Rousseau widział nie w rozumie, lecz w uczuciu. Nim też - wbrew temu, co czyni zwyrodniała przez cywilizację ludzkość - należy kierować się we wszelkich okolicznościach. „Jeśli przyroda przeznaczyła nas do tego, byśmy byli zdrowi, śmiem prawie twierdzić, że stan refleksji jest stanem niezgodnym z przyrodą i że człowiek rozmyślający jest zwierzęciem zwyrodniałym: wartość prawdziwa człowieka leży nie w rozumie, lecz w sercu, a wartość serca jest niezależna od wartości rozumu". Nawet w dziedzinie poznania uczucie jest zdolne dokonać więcej niż rozum: dociekania filozofów, kierowane przez rozum, nie rozwiązały żadnej wątpliwości dręczącej człowieka. Jeśli co oświeca nasz umysł, to tylko serce: oczywistość tego, co dyktuje serce, Rousseau przeciwstawiał rzekomej oczywistości osiąganej przez rozum. Człowiek zdolny jest zbudować naturalną etykę i religię, ale musi oprzeć je nie na rozumie, jak tego chcą filozofowie i teologowie, lecz na sumieniu. Sumienie, nie rozum, uczy, co słuszne i dobre. Ono jest „boskim instynktem nieśmiertelnym, niebiańskim głosem". Wynikała stąd wroga postawa wobec nauki i filozofii. Rousseau był wrogiem spekulatywnych dociekań. Ale </w:t>
      </w:r>
      <w:proofErr w:type="spellStart"/>
      <w:r w:rsidRPr="002926E6">
        <w:rPr>
          <w:rFonts w:ascii="Bookman Old Style" w:hAnsi="Bookman Old Style"/>
        </w:rPr>
        <w:t>szczególniej</w:t>
      </w:r>
      <w:proofErr w:type="spellEnd"/>
      <w:r w:rsidRPr="002926E6">
        <w:rPr>
          <w:rFonts w:ascii="Bookman Old Style" w:hAnsi="Bookman Old Style"/>
        </w:rPr>
        <w:t xml:space="preserve"> był przeciwnikiem filozofii panującej w jego epoce: racjonalistycznej, materialistycznej, sensualistycznej. </w:t>
      </w:r>
    </w:p>
    <w:p w:rsidR="0071110F" w:rsidRDefault="0071110F" w:rsidP="00A4537F">
      <w:pPr>
        <w:rPr>
          <w:rFonts w:ascii="Bookman Old Style" w:hAnsi="Bookman Old Style"/>
        </w:rPr>
      </w:pPr>
      <w:r w:rsidRPr="002926E6">
        <w:rPr>
          <w:rFonts w:ascii="Bookman Old Style" w:hAnsi="Bookman Old Style"/>
          <w:b/>
        </w:rPr>
        <w:t xml:space="preserve">5. POGLĄGY PEDAGOGICZNE i SPOŁECZNE. </w:t>
      </w:r>
      <w:r w:rsidRPr="002926E6">
        <w:rPr>
          <w:rFonts w:ascii="Bookman Old Style" w:hAnsi="Bookman Old Style"/>
        </w:rPr>
        <w:t xml:space="preserve">W praktyce trudno było myśleć o powrocie do stanu pierwotnego natury, choćby był stanem idealnym. Ale można było normować rozrost cywilizacji. Nawet niezależnie od Rousseau polityka oświatowa XVIII w. stawiała sobie pytanie, do jakiego stopnia można cywilizację rozpowszechniać wśród mas, bez obawy doprowadzenia do rozkładu społeczeństwa. Rousseau rozwinął pogląd zmierzający ku bardziej naturalnemu pokierowaniu życiem. Rozwinął go głównie w zakresie wychowania i ustroju społecznego. Wychowanie powinno być naturalne: powinno więc tylko rozwijać to, co leży w psychice ludzkiej. Natura każdego jest indywidualna, więc też i wychowanie powinno być indywidualne, bez schematu. Natura człowieka jest nie tylko duchowa, ale i cielesna; więc wychowanie powinno objąć również i cielesny rozwój człowieka. Do natury duchowej człowieka należy nie tylko rozum; trzeba kształcić nie tylko myślenie abstrakcyjne, ale też uczyć poglądowo i nade wszystko rozwijać uczucie. Rola tak pojętego wychowania jest negatywna: faktycznie sprowadza się ono do pomocy przy samowychowaniu; nie kieruje rozwojem, lecz usuwa przeszkody, aby natura rozwijała się we właściwym kierunku. Filozofii społecznej Rousseau stawiał zadania normatywne: ustalenie ustroju idealnego. Ideał Rousseau miał zbliżyć społeczeństwo do natury; był republikański i demokratyczny, dążył do państwa równości i wolności. Występował nawet przeciw systemowi reprezentacyjnemu, dającemu niektórym jednostkom więcej władzy, niż się to im z natury należy. </w:t>
      </w:r>
    </w:p>
    <w:p w:rsidR="002926E6" w:rsidRDefault="002926E6" w:rsidP="00A4537F">
      <w:pPr>
        <w:rPr>
          <w:rFonts w:ascii="Bookman Old Style" w:hAnsi="Bookman Old Style"/>
        </w:rPr>
      </w:pPr>
    </w:p>
    <w:p w:rsidR="002926E6" w:rsidRDefault="002926E6" w:rsidP="00A4537F">
      <w:pPr>
        <w:rPr>
          <w:rFonts w:ascii="Bookman Old Style" w:hAnsi="Bookman Old Style"/>
        </w:rPr>
      </w:pPr>
    </w:p>
    <w:p w:rsidR="002926E6" w:rsidRPr="002926E6" w:rsidRDefault="002926E6" w:rsidP="00A4537F">
      <w:pPr>
        <w:rPr>
          <w:rFonts w:ascii="Bookman Old Style" w:hAnsi="Bookman Old Style"/>
        </w:rPr>
      </w:pPr>
    </w:p>
    <w:p w:rsidR="0071110F" w:rsidRPr="002926E6" w:rsidRDefault="0071110F" w:rsidP="00A4537F">
      <w:pPr>
        <w:rPr>
          <w:rFonts w:ascii="Bookman Old Style" w:hAnsi="Bookman Old Style"/>
        </w:rPr>
      </w:pPr>
      <w:r w:rsidRPr="002926E6">
        <w:rPr>
          <w:rFonts w:ascii="Bookman Old Style" w:hAnsi="Bookman Old Style"/>
          <w:b/>
        </w:rPr>
        <w:lastRenderedPageBreak/>
        <w:t>ZNACZENIE</w:t>
      </w:r>
      <w:r w:rsidRPr="002926E6">
        <w:rPr>
          <w:rFonts w:ascii="Bookman Old Style" w:hAnsi="Bookman Old Style"/>
        </w:rPr>
        <w:t xml:space="preserve"> Rousseau dla filozofii było czworakie: </w:t>
      </w:r>
    </w:p>
    <w:p w:rsidR="0071110F" w:rsidRPr="002926E6" w:rsidRDefault="0071110F" w:rsidP="00A4537F">
      <w:pPr>
        <w:rPr>
          <w:rFonts w:ascii="Bookman Old Style" w:hAnsi="Bookman Old Style"/>
        </w:rPr>
      </w:pPr>
      <w:r w:rsidRPr="002926E6">
        <w:rPr>
          <w:rFonts w:ascii="Bookman Old Style" w:hAnsi="Bookman Old Style"/>
        </w:rPr>
        <w:t>1. Odnowienie stanowiska moralistycznego, ponad wszystkie inne dobra stawiającego dobra moralne: wolność i równość.</w:t>
      </w:r>
    </w:p>
    <w:p w:rsidR="0071110F" w:rsidRPr="002926E6" w:rsidRDefault="0071110F" w:rsidP="00A4537F">
      <w:pPr>
        <w:rPr>
          <w:rFonts w:ascii="Bookman Old Style" w:hAnsi="Bookman Old Style"/>
        </w:rPr>
      </w:pPr>
      <w:r w:rsidRPr="002926E6">
        <w:rPr>
          <w:rFonts w:ascii="Bookman Old Style" w:hAnsi="Bookman Old Style"/>
        </w:rPr>
        <w:t xml:space="preserve"> 2. Postawienie zagadnienia wartości cywilizacji na miejsce dogmatycznego przekonania o jej wartości. </w:t>
      </w:r>
    </w:p>
    <w:p w:rsidR="0071110F" w:rsidRPr="002926E6" w:rsidRDefault="0071110F" w:rsidP="00A4537F">
      <w:pPr>
        <w:rPr>
          <w:rFonts w:ascii="Bookman Old Style" w:hAnsi="Bookman Old Style"/>
        </w:rPr>
      </w:pPr>
      <w:r w:rsidRPr="002926E6">
        <w:rPr>
          <w:rFonts w:ascii="Bookman Old Style" w:hAnsi="Bookman Old Style"/>
        </w:rPr>
        <w:t xml:space="preserve">3. Wezwanie do naturalności we wszystkich dziedzinach życia. </w:t>
      </w:r>
    </w:p>
    <w:p w:rsidR="0071110F" w:rsidRPr="002926E6" w:rsidRDefault="0071110F" w:rsidP="00A4537F">
      <w:pPr>
        <w:rPr>
          <w:rFonts w:ascii="Bookman Old Style" w:hAnsi="Bookman Old Style"/>
          <w:b/>
          <w:color w:val="595959" w:themeColor="text1" w:themeTint="A6"/>
        </w:rPr>
      </w:pPr>
      <w:bookmarkStart w:id="0" w:name="_GoBack"/>
      <w:bookmarkEnd w:id="0"/>
      <w:r w:rsidRPr="002926E6">
        <w:rPr>
          <w:rFonts w:ascii="Bookman Old Style" w:hAnsi="Bookman Old Style"/>
        </w:rPr>
        <w:t>4. Uznanie praw uczucia wbrew intelektualistycznemu pojmowaniu życia</w:t>
      </w:r>
    </w:p>
    <w:sectPr w:rsidR="0071110F" w:rsidRPr="002926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iberation Serif">
    <w:altName w:val="Times New Roman"/>
    <w:charset w:val="00"/>
    <w:family w:val="roman"/>
    <w:pitch w:val="variable"/>
  </w:font>
  <w:font w:name="Adobe Blank">
    <w:charset w:val="00"/>
    <w:family w:val="auto"/>
    <w:pitch w:val="variable"/>
  </w:font>
  <w:font w:name="FreeSans">
    <w:charset w:val="00"/>
    <w:family w:val="swiss"/>
    <w:pitch w:val="default"/>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31E88"/>
    <w:multiLevelType w:val="hybridMultilevel"/>
    <w:tmpl w:val="09AC7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77500E"/>
    <w:multiLevelType w:val="multilevel"/>
    <w:tmpl w:val="D19CC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555330"/>
    <w:multiLevelType w:val="hybridMultilevel"/>
    <w:tmpl w:val="1ADE199C"/>
    <w:lvl w:ilvl="0" w:tplc="A19EA2D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FE944C4"/>
    <w:multiLevelType w:val="hybridMultilevel"/>
    <w:tmpl w:val="90162D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8E85262"/>
    <w:multiLevelType w:val="hybridMultilevel"/>
    <w:tmpl w:val="532A0388"/>
    <w:lvl w:ilvl="0" w:tplc="26D666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9CE6275"/>
    <w:multiLevelType w:val="hybridMultilevel"/>
    <w:tmpl w:val="7F1CCF00"/>
    <w:lvl w:ilvl="0" w:tplc="CD8A9EB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02874DC"/>
    <w:multiLevelType w:val="multilevel"/>
    <w:tmpl w:val="E74E1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146699"/>
    <w:multiLevelType w:val="multilevel"/>
    <w:tmpl w:val="B07C2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3906A8"/>
    <w:multiLevelType w:val="hybridMultilevel"/>
    <w:tmpl w:val="F3C6B5A2"/>
    <w:lvl w:ilvl="0" w:tplc="44D4FC0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3"/>
  </w:num>
  <w:num w:numId="5">
    <w:abstractNumId w:val="0"/>
  </w:num>
  <w:num w:numId="6">
    <w:abstractNumId w:val="1"/>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A94"/>
    <w:rsid w:val="002926E6"/>
    <w:rsid w:val="003C1A94"/>
    <w:rsid w:val="00466B9D"/>
    <w:rsid w:val="006B49E1"/>
    <w:rsid w:val="0071110F"/>
    <w:rsid w:val="00A4537F"/>
    <w:rsid w:val="00CB7240"/>
    <w:rsid w:val="00F7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007403-FB1F-4C56-BDBE-BFA962F4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C1A94"/>
    <w:pPr>
      <w:suppressAutoHyphens/>
      <w:autoSpaceDN w:val="0"/>
      <w:spacing w:after="0" w:line="240" w:lineRule="auto"/>
    </w:pPr>
    <w:rPr>
      <w:rFonts w:ascii="Liberation Serif" w:eastAsia="Adobe Blank" w:hAnsi="Liberation Serif" w:cs="FreeSans"/>
      <w:kern w:val="3"/>
      <w:sz w:val="24"/>
      <w:szCs w:val="24"/>
      <w:lang w:eastAsia="zh-CN" w:bidi="hi-IN"/>
    </w:rPr>
  </w:style>
  <w:style w:type="paragraph" w:styleId="Akapitzlist">
    <w:name w:val="List Paragraph"/>
    <w:basedOn w:val="Normalny"/>
    <w:uiPriority w:val="34"/>
    <w:qFormat/>
    <w:rsid w:val="00A4537F"/>
    <w:pPr>
      <w:ind w:left="720"/>
      <w:contextualSpacing/>
    </w:pPr>
  </w:style>
  <w:style w:type="paragraph" w:styleId="NormalnyWeb">
    <w:name w:val="Normal (Web)"/>
    <w:basedOn w:val="Normalny"/>
    <w:uiPriority w:val="99"/>
    <w:semiHidden/>
    <w:unhideWhenUsed/>
    <w:rsid w:val="00CB724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CB7240"/>
  </w:style>
  <w:style w:type="character" w:customStyle="1" w:styleId="text-dictionary-hit">
    <w:name w:val="text-dictionary-hit"/>
    <w:basedOn w:val="Domylnaczcionkaakapitu"/>
    <w:rsid w:val="00CB7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908231">
      <w:bodyDiv w:val="1"/>
      <w:marLeft w:val="0"/>
      <w:marRight w:val="0"/>
      <w:marTop w:val="0"/>
      <w:marBottom w:val="0"/>
      <w:divBdr>
        <w:top w:val="none" w:sz="0" w:space="0" w:color="auto"/>
        <w:left w:val="none" w:sz="0" w:space="0" w:color="auto"/>
        <w:bottom w:val="none" w:sz="0" w:space="0" w:color="auto"/>
        <w:right w:val="none" w:sz="0" w:space="0" w:color="auto"/>
      </w:divBdr>
    </w:div>
    <w:div w:id="1354526989">
      <w:bodyDiv w:val="1"/>
      <w:marLeft w:val="0"/>
      <w:marRight w:val="0"/>
      <w:marTop w:val="0"/>
      <w:marBottom w:val="0"/>
      <w:divBdr>
        <w:top w:val="none" w:sz="0" w:space="0" w:color="auto"/>
        <w:left w:val="none" w:sz="0" w:space="0" w:color="auto"/>
        <w:bottom w:val="none" w:sz="0" w:space="0" w:color="auto"/>
        <w:right w:val="none" w:sz="0" w:space="0" w:color="auto"/>
      </w:divBdr>
    </w:div>
    <w:div w:id="1470172239">
      <w:bodyDiv w:val="1"/>
      <w:marLeft w:val="0"/>
      <w:marRight w:val="0"/>
      <w:marTop w:val="0"/>
      <w:marBottom w:val="0"/>
      <w:divBdr>
        <w:top w:val="none" w:sz="0" w:space="0" w:color="auto"/>
        <w:left w:val="none" w:sz="0" w:space="0" w:color="auto"/>
        <w:bottom w:val="none" w:sz="0" w:space="0" w:color="auto"/>
        <w:right w:val="none" w:sz="0" w:space="0" w:color="auto"/>
      </w:divBdr>
    </w:div>
    <w:div w:id="195154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16</Pages>
  <Words>7051</Words>
  <Characters>42307</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Doktorkto</dc:creator>
  <cp:keywords/>
  <dc:description/>
  <cp:lastModifiedBy>Doktorkto</cp:lastModifiedBy>
  <cp:revision>1</cp:revision>
  <dcterms:created xsi:type="dcterms:W3CDTF">2017-01-20T12:28:00Z</dcterms:created>
  <dcterms:modified xsi:type="dcterms:W3CDTF">2017-01-20T14:11:00Z</dcterms:modified>
</cp:coreProperties>
</file>